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B7622" w14:textId="68B20FE1" w:rsidR="00797BDA" w:rsidRPr="00B93040" w:rsidRDefault="006158DB" w:rsidP="00797BDA">
      <w:pPr>
        <w:pStyle w:val="PCFUpdate"/>
      </w:pPr>
      <w:bookmarkStart w:id="0" w:name="_GoBack"/>
      <w:bookmarkEnd w:id="0"/>
      <w:r>
        <w:t xml:space="preserve">Decembrie </w:t>
      </w:r>
      <w:r w:rsidR="00CF5120">
        <w:t>2017</w:t>
      </w:r>
    </w:p>
    <w:p w14:paraId="0E8FD417" w14:textId="77777777" w:rsidR="00797BDA" w:rsidRPr="00B93040" w:rsidRDefault="00797BDA" w:rsidP="00797BDA">
      <w:pPr>
        <w:pStyle w:val="PCFUpdate"/>
      </w:pPr>
      <w:r>
        <w:t>Această fișă tematică nu obligă Curtea și nu este exhaustivă</w:t>
      </w:r>
    </w:p>
    <w:p w14:paraId="3EC832C0" w14:textId="77777777" w:rsidR="00797BDA" w:rsidRPr="00B93040" w:rsidRDefault="00797BDA" w:rsidP="00797BDA">
      <w:pPr>
        <w:rPr>
          <w:lang w:val="en-GB"/>
        </w:rPr>
      </w:pPr>
    </w:p>
    <w:p w14:paraId="214FB2AA" w14:textId="77777777" w:rsidR="00797BDA" w:rsidRPr="00FD6807" w:rsidRDefault="00FD6807" w:rsidP="00797BDA">
      <w:pPr>
        <w:pStyle w:val="PCFCountrytitle"/>
        <w:rPr>
          <w:szCs w:val="48"/>
        </w:rPr>
      </w:pPr>
      <w:r>
        <w:t xml:space="preserve">Extrădare și detențiune pe viață </w:t>
      </w:r>
    </w:p>
    <w:p w14:paraId="0985DF1B" w14:textId="77777777" w:rsidR="00FD6807" w:rsidRPr="00FD6807" w:rsidRDefault="00FD6807" w:rsidP="00FD6807">
      <w:pPr>
        <w:spacing w:before="240"/>
        <w:rPr>
          <w:color w:val="E36C0A"/>
        </w:rPr>
      </w:pPr>
      <w:r>
        <w:rPr>
          <w:color w:val="E36C0A"/>
        </w:rPr>
        <w:t xml:space="preserve">A se vedea, de asemenea, fișa tematică </w:t>
      </w:r>
      <w:hyperlink r:id="rId8" w:history="1">
        <w:r>
          <w:rPr>
            <w:rStyle w:val="Hyperlink"/>
          </w:rPr>
          <w:t>„Detențiunea pe viață”</w:t>
        </w:r>
      </w:hyperlink>
      <w:r>
        <w:rPr>
          <w:color w:val="E36C0A"/>
        </w:rPr>
        <w:t>.</w:t>
      </w:r>
    </w:p>
    <w:p w14:paraId="6FCCBCE3" w14:textId="77777777" w:rsidR="00FD6807" w:rsidRPr="00F56E4A" w:rsidRDefault="00FD6807" w:rsidP="00FD6807">
      <w:pPr>
        <w:pStyle w:val="PCFParaGrey"/>
        <w:pBdr>
          <w:top w:val="dotted" w:sz="4" w:space="2" w:color="auto"/>
          <w:left w:val="dotted" w:sz="4" w:space="4" w:color="auto"/>
          <w:bottom w:val="dotted" w:sz="4" w:space="2" w:color="auto"/>
          <w:right w:val="dotted" w:sz="4" w:space="4" w:color="auto"/>
        </w:pBdr>
        <w:spacing w:before="240"/>
        <w:rPr>
          <w:color w:val="404040"/>
          <w:sz w:val="19"/>
          <w:szCs w:val="19"/>
        </w:rPr>
      </w:pPr>
      <w:r>
        <w:rPr>
          <w:b/>
          <w:color w:val="404040"/>
          <w:sz w:val="19"/>
          <w:szCs w:val="19"/>
        </w:rPr>
        <w:t xml:space="preserve">Art. 3 din </w:t>
      </w:r>
      <w:hyperlink r:id="rId9" w:history="1">
        <w:r>
          <w:rPr>
            <w:rStyle w:val="Hyperlink"/>
            <w:b/>
            <w:sz w:val="19"/>
            <w:szCs w:val="19"/>
          </w:rPr>
          <w:t>Convenția europeană a drepturilor omului</w:t>
        </w:r>
      </w:hyperlink>
      <w:r>
        <w:rPr>
          <w:color w:val="404040"/>
          <w:sz w:val="19"/>
          <w:szCs w:val="19"/>
        </w:rPr>
        <w:t>:</w:t>
      </w:r>
    </w:p>
    <w:p w14:paraId="1C774581" w14:textId="77777777" w:rsidR="00FD6807" w:rsidRPr="00F56E4A" w:rsidRDefault="00FD6807" w:rsidP="00FD6807">
      <w:pPr>
        <w:pStyle w:val="PCFParaGrey"/>
        <w:pBdr>
          <w:top w:val="dotted" w:sz="4" w:space="2" w:color="auto"/>
          <w:left w:val="dotted" w:sz="4" w:space="4" w:color="auto"/>
          <w:bottom w:val="dotted" w:sz="4" w:space="2" w:color="auto"/>
          <w:right w:val="dotted" w:sz="4" w:space="4" w:color="auto"/>
        </w:pBdr>
        <w:spacing w:before="60" w:after="240"/>
        <w:rPr>
          <w:color w:val="404040"/>
          <w:sz w:val="19"/>
          <w:szCs w:val="19"/>
        </w:rPr>
      </w:pPr>
      <w:r>
        <w:rPr>
          <w:color w:val="404040"/>
          <w:sz w:val="19"/>
          <w:szCs w:val="19"/>
        </w:rPr>
        <w:t>„Nimeni nu poate fi supus torturii, nici pedepselor sau tratamentelor inumane ori degradante.”</w:t>
      </w:r>
    </w:p>
    <w:p w14:paraId="26B23537" w14:textId="77777777" w:rsidR="00797BDA" w:rsidRPr="00B93040" w:rsidRDefault="00085651" w:rsidP="00797BDA">
      <w:pPr>
        <w:pStyle w:val="PCFHeaderCase"/>
        <w:rPr>
          <w:rStyle w:val="Hyperlink"/>
          <w:color w:val="808080"/>
          <w:u w:val="none"/>
        </w:rPr>
      </w:pPr>
      <w:hyperlink r:id="rId10" w:history="1">
        <w:r w:rsidR="00864D2B">
          <w:rPr>
            <w:rStyle w:val="Hyperlink"/>
          </w:rPr>
          <w:t>Nivette împotriva Franței</w:t>
        </w:r>
      </w:hyperlink>
    </w:p>
    <w:p w14:paraId="1DB0402C" w14:textId="77777777" w:rsidR="00797BDA" w:rsidRPr="00B93040" w:rsidRDefault="00797BDA" w:rsidP="00797BDA">
      <w:pPr>
        <w:pStyle w:val="PCFHeaderDate"/>
      </w:pPr>
      <w:r>
        <w:t>3 iulie 2001 (decizie privind admisibilitatea)</w:t>
      </w:r>
    </w:p>
    <w:p w14:paraId="0D9A8C83" w14:textId="1218198F" w:rsidR="002C6E5E" w:rsidRPr="002C6E5E" w:rsidRDefault="002C6E5E" w:rsidP="002C6E5E">
      <w:pPr>
        <w:pStyle w:val="PCFPara"/>
      </w:pPr>
      <w:r>
        <w:t xml:space="preserve">Reclamantul, un resortisant american suspectat că și-a omorât prietena, a susținut în special că extrădarea sa în Statele Unite ar încălca art. 3 din Convenția europeană a drepturilor omului dacă ar fi condamnat la </w:t>
      </w:r>
      <w:r w:rsidR="00434C36">
        <w:t xml:space="preserve">pedeapsa </w:t>
      </w:r>
      <w:r>
        <w:t>detențiun</w:t>
      </w:r>
      <w:r w:rsidR="00434C36">
        <w:t>ii</w:t>
      </w:r>
      <w:r>
        <w:t xml:space="preserve"> pe viață fără posibilitatea punerii în libertate înainte de termen.</w:t>
      </w:r>
    </w:p>
    <w:p w14:paraId="7D0D3DBA" w14:textId="41994F3A" w:rsidR="002C6E5E" w:rsidRPr="002C6E5E" w:rsidRDefault="002C6E5E" w:rsidP="002C6E5E">
      <w:pPr>
        <w:pStyle w:val="PCFViolation"/>
      </w:pPr>
      <w:r>
        <w:t xml:space="preserve">Curtea Europeană a Drepturilor Omului a declarat cererea </w:t>
      </w:r>
      <w:r>
        <w:rPr>
          <w:b/>
        </w:rPr>
        <w:t>inadmisibilă</w:t>
      </w:r>
      <w:r>
        <w:t xml:space="preserve"> ca fiind vădit nefondată. Luând act, în special, de faptul că procurorul districtului Sacramento s-a angajat sub jurământ că, indiferent de circumstanțe, statul California nu va invoca una dintre circumstanțele speciale care trebuie să fie invocate pentru aplicarea pedepsei cu moartea sau a pedepsei detențiunii pe viață fără posibilitatea punerii în libertate înainte de termen și că angajamentul său era obligatoriu pentru succesorii săi și pentru statul California, Curtea a constatat că asigurările obținute de </w:t>
      </w:r>
      <w:r w:rsidR="00100B4F">
        <w:t>g</w:t>
      </w:r>
      <w:r>
        <w:t>uvernul francez erau de natură să evite pericolul ca reclamantul să fie condamnat la pedeapsa detențiunii pe viață fără posibilitatea punerii în libertate înainte de termen. Prin urmare, extrădarea sa nu îl putea expune unui risc ridicat de tratamente sau pedepse interzise de art. 3 din Convenție.</w:t>
      </w:r>
    </w:p>
    <w:p w14:paraId="0005F4FF" w14:textId="77777777" w:rsidR="00797BDA" w:rsidRPr="00115549" w:rsidRDefault="00797BDA" w:rsidP="00797BDA">
      <w:pPr>
        <w:pStyle w:val="PCFPara"/>
        <w:spacing w:before="60"/>
      </w:pPr>
      <w:r>
        <w:rPr>
          <w:i/>
          <w:color w:val="404040"/>
        </w:rPr>
        <w:t>A se vedea de asemenea</w:t>
      </w:r>
      <w:r>
        <w:rPr>
          <w:color w:val="404040"/>
        </w:rPr>
        <w:t xml:space="preserve">: </w:t>
      </w:r>
      <w:hyperlink r:id="rId11" w:history="1">
        <w:r>
          <w:rPr>
            <w:rStyle w:val="Hyperlink"/>
            <w:b/>
            <w:i/>
          </w:rPr>
          <w:t>Olaechea Cahuas împotriva Spaniei</w:t>
        </w:r>
      </w:hyperlink>
      <w:r>
        <w:rPr>
          <w:color w:val="404040"/>
        </w:rPr>
        <w:t>, hotărârea din 10 august 2006.</w:t>
      </w:r>
    </w:p>
    <w:p w14:paraId="7F9487D1" w14:textId="77777777" w:rsidR="00797BDA" w:rsidRPr="00B93040" w:rsidRDefault="00085651" w:rsidP="00797BDA">
      <w:pPr>
        <w:pStyle w:val="PCFHeaderCase"/>
      </w:pPr>
      <w:hyperlink r:id="rId12" w:history="1">
        <w:r w:rsidR="00864D2B">
          <w:rPr>
            <w:rStyle w:val="Hyperlink"/>
          </w:rPr>
          <w:t>Einhorn împotriva Franței</w:t>
        </w:r>
      </w:hyperlink>
    </w:p>
    <w:p w14:paraId="002B4B13" w14:textId="77777777" w:rsidR="00797BDA" w:rsidRPr="00B93040" w:rsidRDefault="00797BDA" w:rsidP="00797BDA">
      <w:pPr>
        <w:pStyle w:val="PCFHeaderDate"/>
      </w:pPr>
      <w:r>
        <w:t>16 octombrie 2001 (decizie privind admisibilitatea)</w:t>
      </w:r>
    </w:p>
    <w:p w14:paraId="17EBD9C4" w14:textId="45ACAB44" w:rsidR="00797BDA" w:rsidRPr="00C12078" w:rsidRDefault="00797BDA" w:rsidP="00797BDA">
      <w:pPr>
        <w:pStyle w:val="PCFPara"/>
      </w:pPr>
      <w:r>
        <w:t xml:space="preserve">Reclamantul, resortisant american, a părăsit Statele Unite după ce a fost acuzat de omorârea fostei sale partenere. A fost declarat vinovat </w:t>
      </w:r>
      <w:r w:rsidR="009010BD">
        <w:t xml:space="preserve">în lipsă </w:t>
      </w:r>
      <w:r>
        <w:t xml:space="preserve">de săvârșirea infracțiunii de omor și condamnat la </w:t>
      </w:r>
      <w:r w:rsidR="009010BD">
        <w:t xml:space="preserve">pedeapsa </w:t>
      </w:r>
      <w:r>
        <w:t>detențiun</w:t>
      </w:r>
      <w:r w:rsidR="009010BD">
        <w:t>ii</w:t>
      </w:r>
      <w:r>
        <w:t xml:space="preserve"> pe viață. Guvernul francez a fost de acord cu extrădarea sa pe motiv că acesta urma să beneficieze de un proces nou și echitabil în cazul returnării în Pennsylvania și că nu risca pedeapsa cu moartea. Reclamantul a declarat apel, respins de </w:t>
      </w:r>
      <w:r>
        <w:rPr>
          <w:i/>
        </w:rPr>
        <w:t>Conseil d’Etat</w:t>
      </w:r>
      <w:r>
        <w:t xml:space="preserve"> (Consiliul de Stat) din Franța. În fața Curții, reclamantul a susținut că extrădarea sa fusese acordată cu încălcarea art. 3 din Convenție în sensul, în special, că va avea probabil de executat pedeapsa detențiunii pe viață fără nicio posibilitate reală de reducere a pedepsei sau de liberare condiționată.</w:t>
      </w:r>
    </w:p>
    <w:p w14:paraId="4E0E0115" w14:textId="6379E5F2" w:rsidR="00C12078" w:rsidRPr="00C12078" w:rsidRDefault="00C12078" w:rsidP="00EB7A7D">
      <w:pPr>
        <w:pStyle w:val="PCFViolation"/>
      </w:pPr>
      <w:r>
        <w:t xml:space="preserve">Curtea a declarat cererea </w:t>
      </w:r>
      <w:r>
        <w:rPr>
          <w:b/>
        </w:rPr>
        <w:t>inadmisibilă</w:t>
      </w:r>
      <w:r>
        <w:t xml:space="preserve"> ca fiind vădit nefondată. Reiterând că nu se putea exclude faptul că aplicarea unei pedepse ireductibile cu detențiunea pe viață putea ridica o problemă în sensul art. 3 din Convenție și referindu-se, în acest sens, la documentele Consiliului Europei pe această temă</w:t>
      </w:r>
      <w:r w:rsidRPr="00C379ED">
        <w:rPr>
          <w:rStyle w:val="FootnoteReference"/>
          <w:lang w:val="en-GB"/>
        </w:rPr>
        <w:footnoteReference w:id="1"/>
      </w:r>
      <w:r>
        <w:t xml:space="preserve">, Curtea a concluzionat de aici că nu se putea exclude nici faptul că extrădarea unei persoane într-un stat în care riscă să fie condamnată la </w:t>
      </w:r>
      <w:r w:rsidR="00B468B6">
        <w:t xml:space="preserve">pedeapsa </w:t>
      </w:r>
      <w:r>
        <w:t>detențiun</w:t>
      </w:r>
      <w:r w:rsidR="00B468B6">
        <w:t>ii</w:t>
      </w:r>
      <w:r>
        <w:t xml:space="preserve"> pe viață fără posibilitatea punerii în libertate înainte de termen poate ridica o problemă în sensul art. 3 din Convenție. În această cauză, totuși, Curtea a constatat că guvernatorul statului Pennsylvania putea comuta pedeapsa detențiunii pe </w:t>
      </w:r>
      <w:r>
        <w:lastRenderedPageBreak/>
        <w:t xml:space="preserve">viață într-o pedeapsă cu o durată care permite liberarea condiționată. În consecință, deși posibilitatea liberării condiționate a persoanelor aflate în executarea pedepsei detențiunii pe viață în Pennsylvania era limitată, nu se putea deduce de aici că, dacă ar fi condamnat la </w:t>
      </w:r>
      <w:r w:rsidR="00A011CF">
        <w:t xml:space="preserve">pedeapsa </w:t>
      </w:r>
      <w:r>
        <w:t>detențiun</w:t>
      </w:r>
      <w:r w:rsidR="00A011CF">
        <w:t>ii</w:t>
      </w:r>
      <w:r>
        <w:t xml:space="preserve"> pe viață în urma unui nou proces în Pennsylvania, reclamantul nu ar putea fi liberat</w:t>
      </w:r>
      <w:r w:rsidR="00A011CF">
        <w:t xml:space="preserve"> condiționat</w:t>
      </w:r>
      <w:r>
        <w:t xml:space="preserve">, acesta neprezentând nicio dovadă care să justifice o astfel de concluzie. </w:t>
      </w:r>
    </w:p>
    <w:p w14:paraId="0A4C526A" w14:textId="77777777" w:rsidR="00963E62" w:rsidRPr="00963E62" w:rsidRDefault="00963E62" w:rsidP="00963E62">
      <w:pPr>
        <w:spacing w:before="60"/>
      </w:pPr>
      <w:r>
        <w:rPr>
          <w:i/>
          <w:color w:val="404040"/>
        </w:rPr>
        <w:t>A se vedea de asemenea</w:t>
      </w:r>
      <w:r>
        <w:rPr>
          <w:color w:val="404040"/>
        </w:rPr>
        <w:t xml:space="preserve">: </w:t>
      </w:r>
      <w:hyperlink r:id="rId13" w:history="1">
        <w:r>
          <w:rPr>
            <w:rStyle w:val="Hyperlink"/>
            <w:b/>
            <w:i/>
          </w:rPr>
          <w:t>Schuchter împotriva Italiei</w:t>
        </w:r>
      </w:hyperlink>
      <w:r>
        <w:rPr>
          <w:color w:val="404040"/>
        </w:rPr>
        <w:t xml:space="preserve">, decizia privind admisibilitatea din 11 octombrie 2011; </w:t>
      </w:r>
      <w:hyperlink r:id="rId14" w:history="1">
        <w:r>
          <w:rPr>
            <w:rStyle w:val="Hyperlink"/>
            <w:b/>
            <w:i/>
          </w:rPr>
          <w:t>Segura Naranjo împotriva Poloniei</w:t>
        </w:r>
      </w:hyperlink>
      <w:r>
        <w:rPr>
          <w:color w:val="404040"/>
        </w:rPr>
        <w:t>, decizia privind admisibilitatea din 6 decembrie 2011.</w:t>
      </w:r>
    </w:p>
    <w:p w14:paraId="2D0252A6" w14:textId="77777777" w:rsidR="00797BDA" w:rsidRPr="00B93040" w:rsidRDefault="00085651" w:rsidP="00797BDA">
      <w:pPr>
        <w:pStyle w:val="PCFHeaderCase"/>
      </w:pPr>
      <w:hyperlink r:id="rId15" w:history="1">
        <w:r w:rsidR="00864D2B">
          <w:rPr>
            <w:rStyle w:val="Hyperlink"/>
          </w:rPr>
          <w:t>Harkins și Edwards împotriva Regatului Unit</w:t>
        </w:r>
      </w:hyperlink>
      <w:r w:rsidR="00864D2B">
        <w:t xml:space="preserve"> </w:t>
      </w:r>
    </w:p>
    <w:p w14:paraId="4D296F3D" w14:textId="77777777" w:rsidR="00797BDA" w:rsidRPr="00B93040" w:rsidRDefault="00797BDA" w:rsidP="00797BDA">
      <w:pPr>
        <w:pStyle w:val="PCFHeaderDate"/>
      </w:pPr>
      <w:r>
        <w:t>17 ianuarie 2012 (hotărâre)</w:t>
      </w:r>
    </w:p>
    <w:p w14:paraId="499D5532" w14:textId="3C11DCE5" w:rsidR="00797BDA" w:rsidRPr="002A0EAF" w:rsidRDefault="00797BDA" w:rsidP="00797BDA">
      <w:pPr>
        <w:pStyle w:val="PCFPara"/>
      </w:pPr>
      <w:r>
        <w:t xml:space="preserve">Ambii reclamanți </w:t>
      </w:r>
      <w:r w:rsidR="00645F0C">
        <w:t>se confruntau cu</w:t>
      </w:r>
      <w:r>
        <w:t xml:space="preserve"> extrăda</w:t>
      </w:r>
      <w:r w:rsidR="00645F0C">
        <w:t>rea</w:t>
      </w:r>
      <w:r>
        <w:t xml:space="preserve"> din Regatul Unit în Statele Unite unde, susțineau ei, riscau pedeapsa cu moartea sau detențiunea pe viață fără posibilitatea liberării condiționate. Autoritățile americane au dat asigurări că pedeapsa cu moartea nu va fi aplicată în cazul lor și că pedeapsa maximă pe care o riscau era detențiunea pe viață.</w:t>
      </w:r>
    </w:p>
    <w:p w14:paraId="33DA376E" w14:textId="1E87DC1F" w:rsidR="00797BDA" w:rsidRPr="002A0EAF" w:rsidRDefault="00797BDA" w:rsidP="00797BDA">
      <w:pPr>
        <w:pStyle w:val="PCFViolation"/>
      </w:pPr>
      <w:r>
        <w:t xml:space="preserve">În ceea ce privește riscul aplicării detențiunii pe viață fără posibilitatea liberării condiționate, Curtea a hotărât că </w:t>
      </w:r>
      <w:r>
        <w:rPr>
          <w:b/>
        </w:rPr>
        <w:t>nu ar fi încălcat art. 3</w:t>
      </w:r>
      <w:r>
        <w:t xml:space="preserve"> (interzicerea tratamentelor inumane ori degradante) din Convenție </w:t>
      </w:r>
      <w:r>
        <w:rPr>
          <w:b/>
        </w:rPr>
        <w:t>dacă</w:t>
      </w:r>
      <w:r>
        <w:t xml:space="preserve"> un reclamant sau celălalt </w:t>
      </w:r>
      <w:r>
        <w:rPr>
          <w:b/>
        </w:rPr>
        <w:t>ar fi extrădat</w:t>
      </w:r>
      <w:r>
        <w:t xml:space="preserve"> în Statele Unite, constatând că niciunul dintre reclamanți nu a demonstrat existența unui risc real de tratamente care să atingă pragul prevăzut la art. 3 ca urmare a pedepsei sale. În cazul primului reclamant, Curtea nu a fost convinsă că ar fi excesiv de disproporționat să i se aplice pedeapsa obligatorie a detențiunii pe viață în Statele Unite. Acesta </w:t>
      </w:r>
      <w:r w:rsidR="00EF2EBA">
        <w:t>avea vârsta peste</w:t>
      </w:r>
      <w:r>
        <w:t xml:space="preserve"> 18 ani la data </w:t>
      </w:r>
      <w:r w:rsidR="00F11733">
        <w:t xml:space="preserve">săvârșirii </w:t>
      </w:r>
      <w:r>
        <w:t xml:space="preserve">infracțiunii imputate, nu </w:t>
      </w:r>
      <w:r w:rsidR="00645F0C">
        <w:t>fusese</w:t>
      </w:r>
      <w:r>
        <w:t xml:space="preserve"> diagnosticat cu o tulburare psihiatrică, iar omorul făcuse parte dintr-o tentativă de tâlhărie calificată – </w:t>
      </w:r>
      <w:r w:rsidR="00645F0C">
        <w:t>o circumstanță</w:t>
      </w:r>
      <w:r>
        <w:t xml:space="preserve"> agravant</w:t>
      </w:r>
      <w:r w:rsidR="00645F0C">
        <w:t>ă</w:t>
      </w:r>
      <w:r>
        <w:t>. Mai mult, încă nu fusese condamnat și – chiar dacă ar fi condamnat și ar primi pedeapsa obligatorie a detențiunii pe viață – menținerea sa în detenție putea fi justificată în continuare pentru restul vieții sale. Altminteri, guvernatorul statului Florida și Comisia de clemență executivă (</w:t>
      </w:r>
      <w:r>
        <w:rPr>
          <w:i/>
        </w:rPr>
        <w:t>Board of Executive Clemency</w:t>
      </w:r>
      <w:r>
        <w:t>) din Florida ar putea, în principiu, să decidă reducerea pedepsei sale. Cel de-al doilea reclamant risca – cel mult – pedeapsa discreționară a detențiunii pe viață fără posibilitatea liberării condiționate. Având în vedere că aceasta putea fi aplicată numai după ce instanța de fond examina toți factorii relevanți și numai dacă reclamantul era condamnat pentru omor calificat, Curtea a concluzionat că această pedeapsă nu ar fi excesiv de disproporționată.</w:t>
      </w:r>
    </w:p>
    <w:p w14:paraId="558D4FC0" w14:textId="77777777" w:rsidR="00797BDA" w:rsidRPr="004773AC" w:rsidRDefault="00085651" w:rsidP="00797BDA">
      <w:pPr>
        <w:pStyle w:val="PCFHeaderCase"/>
      </w:pPr>
      <w:hyperlink r:id="rId16" w:history="1">
        <w:r w:rsidR="00864D2B">
          <w:rPr>
            <w:rStyle w:val="Hyperlink"/>
          </w:rPr>
          <w:t>Babar Ahmad și alții împotriva Regatului Unit</w:t>
        </w:r>
      </w:hyperlink>
    </w:p>
    <w:p w14:paraId="29395BF5" w14:textId="77777777" w:rsidR="00797BDA" w:rsidRPr="00B93040" w:rsidRDefault="00797BDA" w:rsidP="00797BDA">
      <w:pPr>
        <w:pStyle w:val="PCFHeaderDate"/>
      </w:pPr>
      <w:r>
        <w:t>10 aprilie 2012 (hotărâre)</w:t>
      </w:r>
    </w:p>
    <w:p w14:paraId="18898C5D" w14:textId="77777777" w:rsidR="00797BDA" w:rsidRPr="004773AC" w:rsidRDefault="00797BDA" w:rsidP="00797BDA">
      <w:pPr>
        <w:pStyle w:val="PCFPara"/>
      </w:pPr>
      <w:r>
        <w:t>Reclamanții au fost inculpați pentru diverse fapte de terorism în Statele Unite, care au solicitat extrădarea lor. Reclamanții s-au plâns de riscul executării pedepsei într-un penitenciar de maximă siguranță, unde urmau a fi supuși unor măsuri administrative speciale, și de riscul condamnării la pedeapsa detențiunii pe viață fără posibilitatea reducerii pedepsei.</w:t>
      </w:r>
    </w:p>
    <w:p w14:paraId="6FDA94C3" w14:textId="77777777" w:rsidR="00797BDA" w:rsidRPr="004773AC" w:rsidRDefault="00797BDA" w:rsidP="00797BDA">
      <w:pPr>
        <w:pStyle w:val="PCFPara"/>
        <w:rPr>
          <w:color w:val="0072BC"/>
        </w:rPr>
      </w:pPr>
      <w:r>
        <w:rPr>
          <w:color w:val="0072BC"/>
        </w:rPr>
        <w:t>Curtea a hotărât, în privința a cinci dintre reclamanți</w:t>
      </w:r>
      <w:r w:rsidRPr="00870D5C">
        <w:rPr>
          <w:color w:val="0072BC"/>
          <w:vertAlign w:val="superscript"/>
          <w:lang w:eastAsia="fr-FR"/>
        </w:rPr>
        <w:footnoteReference w:id="2"/>
      </w:r>
      <w:r>
        <w:rPr>
          <w:color w:val="0072BC"/>
        </w:rPr>
        <w:t xml:space="preserve">, că </w:t>
      </w:r>
      <w:r>
        <w:rPr>
          <w:b/>
          <w:color w:val="0072BC"/>
        </w:rPr>
        <w:t>nu ar fi încălcat art. 3</w:t>
      </w:r>
      <w:r>
        <w:rPr>
          <w:color w:val="0072BC"/>
        </w:rPr>
        <w:t xml:space="preserve"> din Convenție ca urmare a duratei pedepselor posibile în cazul extrădării lor în Statele Unite. Aceasta a observat, în special, că nu era o certitudine că, dacă vor fi extrădați, reclamanții vor fi condamnați sau că li se va aplica pedeapsa discreționară a detențiunii pe viață. Totuși, chiar dacă o astfel de pedeapsă ar fi aplicată reclamanților, având în vedere gravitatea acuzațiilor, Curtea nu a considerat că aceasta ar fi excesiv de disproporționată. În plus, deoarece deocamdată niciunul dintre reclamanți nu fusese condamnat sau nu începuse executarea pedepsei, Curtea a considerat că aceștia nu au demonstrat că, ulterior extrădării, încarcerarea lor în Statele Unite nu ar servi vreunui scop penologic legitim. În plus, nu era o certitudine dacă, în cazul în care s-ar ajunge în acest punct vreodată, autoritățile americane vor refuza să recurgă la mecanismele disponibile în sistemul lor pentru reducerea potențialelor pedepse ale reclamanților.</w:t>
      </w:r>
    </w:p>
    <w:p w14:paraId="2F89F9E6" w14:textId="77777777" w:rsidR="00797BDA" w:rsidRPr="004C6F76" w:rsidRDefault="00085651" w:rsidP="00797BDA">
      <w:pPr>
        <w:pStyle w:val="PCFHeaderCase"/>
        <w:rPr>
          <w:rStyle w:val="Hyperlink"/>
          <w:b w:val="0"/>
          <w:bCs/>
        </w:rPr>
      </w:pPr>
      <w:hyperlink r:id="rId17" w:history="1">
        <w:r w:rsidR="00864D2B">
          <w:rPr>
            <w:rStyle w:val="Hyperlink"/>
          </w:rPr>
          <w:t>Trabelsi împotriva Belgiei</w:t>
        </w:r>
      </w:hyperlink>
    </w:p>
    <w:p w14:paraId="5B44A62C" w14:textId="77777777" w:rsidR="00797BDA" w:rsidRPr="004C6F76" w:rsidRDefault="00797BDA" w:rsidP="00797BDA">
      <w:pPr>
        <w:pStyle w:val="PCFHeaderDate"/>
      </w:pPr>
      <w:r>
        <w:t>4 septembrie 2014 (hotărâre)</w:t>
      </w:r>
    </w:p>
    <w:p w14:paraId="73A7D9F8" w14:textId="5D14646E" w:rsidR="00797BDA" w:rsidRPr="00B93040" w:rsidRDefault="00797BDA" w:rsidP="00797BDA">
      <w:pPr>
        <w:pStyle w:val="PCFPara"/>
      </w:pPr>
      <w:r>
        <w:t xml:space="preserve">Această cauză a avut ca obiect extrădarea, în pofida indicării unei măsuri provizorii de către Curte în temeiul art. 39 din </w:t>
      </w:r>
      <w:hyperlink r:id="rId18" w:history="1">
        <w:r>
          <w:rPr>
            <w:rStyle w:val="Hyperlink"/>
          </w:rPr>
          <w:t>Regulamentul Curții</w:t>
        </w:r>
      </w:hyperlink>
      <w:r>
        <w:rPr>
          <w:rStyle w:val="FootnoteReference"/>
          <w:szCs w:val="20"/>
        </w:rPr>
        <w:footnoteReference w:id="3"/>
      </w:r>
      <w:r>
        <w:t xml:space="preserve">, a unui resortisant tunisian, care a fost predat de Belgia Statelor Unite, unde era trimis în judecată pentru infracțiuni de terorism și era pasibil de </w:t>
      </w:r>
      <w:r w:rsidR="006D43E3">
        <w:t xml:space="preserve">condamnarea la pedeapsa </w:t>
      </w:r>
      <w:r>
        <w:t>detențiun</w:t>
      </w:r>
      <w:r w:rsidR="006D43E3">
        <w:t>ii</w:t>
      </w:r>
      <w:r>
        <w:t xml:space="preserve"> pe viață. Reclamantul s-a plâns, în special, că extrădarea sa în Statele Unite ale Americii l-ar expune unui tratament incompatibil cu art. 3 din Convenție. A argumentat în această privință că pentru unele dintre infracțiunile pentru care se aprobase extrădarea se aplica pedeapsa detențiunii pe viață cu o durată maximă, care era o pedeapsă ireductibilă </w:t>
      </w:r>
      <w:r>
        <w:rPr>
          <w:i/>
        </w:rPr>
        <w:t>de facto</w:t>
      </w:r>
      <w:r>
        <w:t xml:space="preserve"> și că, în cazul condamnării sale, nu ar avea vreodată vreo perspectivă de punere în libertate.</w:t>
      </w:r>
    </w:p>
    <w:p w14:paraId="09620631" w14:textId="725DC1A0" w:rsidR="00797BDA" w:rsidRDefault="00797BDA" w:rsidP="00797BDA">
      <w:pPr>
        <w:pStyle w:val="PCFViolation"/>
      </w:pPr>
      <w:r>
        <w:t xml:space="preserve">Curtea a considerat că pedeapsa detențiunii pe viață de care era pasibil reclamantul în Statele Unite nu putea fi redusă, întrucât legislația americană nu prevedea un mecanism adecvat pentru reexaminarea acestui tip de </w:t>
      </w:r>
      <w:r w:rsidR="006D43E3">
        <w:t>sentință</w:t>
      </w:r>
      <w:r>
        <w:t xml:space="preserve">, ceea ce a însemnat că extrădarea sa în Statele Unite a constituit o </w:t>
      </w:r>
      <w:r>
        <w:rPr>
          <w:b/>
        </w:rPr>
        <w:t>încălcare a art. 3</w:t>
      </w:r>
      <w:r>
        <w:t xml:space="preserve"> din Convenție.</w:t>
      </w:r>
    </w:p>
    <w:p w14:paraId="10944C76" w14:textId="6C278FC7" w:rsidR="00797BDA" w:rsidRDefault="00797BDA" w:rsidP="00797BDA">
      <w:pPr>
        <w:pStyle w:val="PCFViolation"/>
      </w:pPr>
      <w:r>
        <w:t xml:space="preserve">Curtea a reiterat în special că aplicarea pedepsei detențiunii pe viață unui infractor adult nu era interzisă, în sine, de nicio dispoziție din Convenție, cu condiția ca pedeapsa să nu fie disproporționată. Pe de altă parte, pentru a fi compatibilă cu art. 3, o astfel de pedeapsă nu ar trebui să fie ireductibilă </w:t>
      </w:r>
      <w:r>
        <w:rPr>
          <w:i/>
        </w:rPr>
        <w:t>de jure</w:t>
      </w:r>
      <w:r>
        <w:t xml:space="preserve"> și </w:t>
      </w:r>
      <w:r>
        <w:rPr>
          <w:i/>
        </w:rPr>
        <w:t>de facto</w:t>
      </w:r>
      <w:r>
        <w:t xml:space="preserve">. Pentru a evalua această cerință, Curtea trebuia să stabilească dacă se putea considera că o persoană condamnată pe viață avea vreo perspectivă de punere în libertate și dacă legislația națională oferea posibilitatea reexaminării pedepsei detențiunii pe viață în vederea comutării/reducerii/încetării pedepsei ori a liberării condiționate a persoanei condamnate. În plus, deținutul trebuia să fie informat cu privire la condițiile acestei posibilități de reexaminare încă de la pronunțarea sentinței. Curtea a reiterat, de asemenea, că art. 3 a impus statelor contractante obligația de a nu îndepărta o persoană într-un stat în care exista un risc real ca aceasta să fie supusă unor rele tratamente interzise. În această cauză, Curtea a considerat că, având în vedere gravitatea infracțiunilor de terorism pentru care reclamantul a fost inculpat și faptul că sentința nu putea fi pronunțată decât după ce instanța de fond a luat în considerare </w:t>
      </w:r>
      <w:r w:rsidR="00542037">
        <w:t xml:space="preserve">toate circumstanțele </w:t>
      </w:r>
      <w:r>
        <w:t>atenuan</w:t>
      </w:r>
      <w:r w:rsidR="00542037">
        <w:t>te</w:t>
      </w:r>
      <w:r>
        <w:t xml:space="preserve"> și agravan</w:t>
      </w:r>
      <w:r w:rsidR="00542037">
        <w:t>te</w:t>
      </w:r>
      <w:r>
        <w:t xml:space="preserve"> relevan</w:t>
      </w:r>
      <w:r w:rsidR="00542037">
        <w:t>te</w:t>
      </w:r>
      <w:r>
        <w:t>, pedeapsa discreționară a detențiunii pe viață</w:t>
      </w:r>
      <w:r>
        <w:rPr>
          <w:rStyle w:val="FootnoteReference"/>
          <w:szCs w:val="20"/>
        </w:rPr>
        <w:footnoteReference w:id="4"/>
      </w:r>
      <w:r>
        <w:t xml:space="preserve"> nu ar fi excesiv de disproporționată. Cu toate acestea, Curtea a hotărât că autoritățile americane nu au oferit în niciun moment nicio asigurare concretă că reclamantul nu va fi condamnat la pedeapsa ireductibilă a detențiunii pe viață. De asemenea, Curtea a observat că, în plus față de asigurările date, deși legislația americană prevedea diferite posibilități de reducere a pedepsei detențiunii pe viață (inclusiv prin grațiere prezidențială), ceea ce îi oferea reclamantului o anumită perspectivă de punere în libertate, nu prevedea nicio procedură echivalentă cu un mecanism de reexaminare a acestor pedepse în sensul art. 3 din Convenție.</w:t>
      </w:r>
    </w:p>
    <w:p w14:paraId="2446095C" w14:textId="77777777" w:rsidR="00B75A2E" w:rsidRPr="00E10348" w:rsidRDefault="00085651" w:rsidP="00B75A2E">
      <w:pPr>
        <w:pStyle w:val="PCFHeaderCase"/>
      </w:pPr>
      <w:hyperlink r:id="rId19" w:history="1">
        <w:r w:rsidR="00864D2B">
          <w:rPr>
            <w:rStyle w:val="Hyperlink"/>
          </w:rPr>
          <w:t>Findikoglu împotriva Germaniei</w:t>
        </w:r>
      </w:hyperlink>
    </w:p>
    <w:p w14:paraId="2DE1D4A2" w14:textId="77777777" w:rsidR="00B75A2E" w:rsidRPr="00E10348" w:rsidRDefault="00B75A2E" w:rsidP="00B75A2E">
      <w:pPr>
        <w:pStyle w:val="PCFHeaderDate"/>
      </w:pPr>
      <w:r>
        <w:t>7 iunie 2016 (decizie privind admisibilitatea)</w:t>
      </w:r>
    </w:p>
    <w:p w14:paraId="4BA705E5" w14:textId="77777777" w:rsidR="00B75A2E" w:rsidRPr="003936C5" w:rsidRDefault="001A5561" w:rsidP="00B75A2E">
      <w:pPr>
        <w:pStyle w:val="PCFPara"/>
      </w:pPr>
      <w:r>
        <w:t>În 2015, reclamantul a fost extrădat în Statele Unite ale Americii, unde era dat în urmărire în legătură cu constituirea unui grup infracțional internațional în calitate de presupus lider al acestuia, grupul urmărind atacarea rețelelor de calculatoare ale furnizorilor de servicii financiare pentru a obține câștiguri financiare. Reclamantul s-a plâns că pentru infracțiunile pentru care a fost extrădat se aplica, în ansamblu, o pedeapsă maximă de 247,5 ani de închisoare, ceea ce însemna că, dacă ar fi condamnat, nu ar avea nicio perspectivă de punere în libertate.</w:t>
      </w:r>
    </w:p>
    <w:p w14:paraId="619A0120" w14:textId="77777777" w:rsidR="00B75A2E" w:rsidRPr="001A5561" w:rsidRDefault="0086199F" w:rsidP="00B75A2E">
      <w:pPr>
        <w:pStyle w:val="PCFViolation"/>
      </w:pPr>
      <w:r>
        <w:t xml:space="preserve">Curtea a hotărât în special că, în cazul reclamantului, nu se putea presupune existența riscului de aplicare a pedepsei detențiunii pe viață, iar întrebarea dacă reclamantul ar avea sau nu vreo perspectivă de punere în libertate în eventualitatea condamnării nu era relevantă. Prin urmare, Curtea a declarat cererea </w:t>
      </w:r>
      <w:r>
        <w:rPr>
          <w:b/>
        </w:rPr>
        <w:t>inadmisibilă</w:t>
      </w:r>
      <w:r>
        <w:t xml:space="preserve"> ca fiind vădit nefondată, constatând că reclamantul nu a demonstrat că extrădarea sa în Statele Unite îl expunea unui risc real de tratamente care ating pragul prevăzut la art. 3 din Convenție ca rezultat al pedepsei probabile. </w:t>
      </w:r>
    </w:p>
    <w:p w14:paraId="6C2A07C8" w14:textId="77777777" w:rsidR="00B60715" w:rsidRPr="001F5561" w:rsidRDefault="00085651" w:rsidP="00B60715">
      <w:pPr>
        <w:pStyle w:val="PCFHeaderCase"/>
      </w:pPr>
      <w:hyperlink r:id="rId20" w:history="1">
        <w:r w:rsidR="00864D2B">
          <w:rPr>
            <w:rStyle w:val="Hyperlink"/>
          </w:rPr>
          <w:t>Harkins împotriva Regatului Unit</w:t>
        </w:r>
      </w:hyperlink>
      <w:r w:rsidR="00864D2B">
        <w:t xml:space="preserve"> </w:t>
      </w:r>
    </w:p>
    <w:p w14:paraId="237977B9" w14:textId="77777777" w:rsidR="00B60715" w:rsidRPr="001F5561" w:rsidRDefault="00B60715" w:rsidP="00B60715">
      <w:pPr>
        <w:pStyle w:val="PCFHeaderDate"/>
      </w:pPr>
      <w:r>
        <w:t>10 iulie 2017 (Marea Cameră – decizie privind admisibilitatea)</w:t>
      </w:r>
    </w:p>
    <w:p w14:paraId="05F2B5A0" w14:textId="77777777" w:rsidR="00B60715" w:rsidRPr="001F5561" w:rsidRDefault="00B60715" w:rsidP="00B60715">
      <w:pPr>
        <w:pStyle w:val="PCFPara"/>
      </w:pPr>
      <w:r>
        <w:t xml:space="preserve">Această cauză a avut ca obiect extrădarea unui resortisant britanic în Statele Unite ale Americii în vederea judecării sale pentru omor calificat. Reclamantul s-a plâns că extrădarea sa în Statele Unite ar încălca art. 3 și art. 6 (dreptul la un proces echitabil) din Convenție deoarece, dacă ar fi condamnat în Florida, ar risca pedeapsa obligatorie a detențiunii pe viață fără posibilitatea liberării condiționate. Este a doua oară când reclamantul depune la Curtea Europeană o cerere referitoare la extrădarea sa. În 2012, în hotărârea </w:t>
      </w:r>
      <w:hyperlink r:id="rId21" w:history="1">
        <w:r>
          <w:rPr>
            <w:rStyle w:val="Hyperlink"/>
            <w:i/>
          </w:rPr>
          <w:t>Harkins și Edwards</w:t>
        </w:r>
      </w:hyperlink>
      <w:r>
        <w:t xml:space="preserve"> (a se vedea pagina 1 </w:t>
      </w:r>
      <w:r>
        <w:rPr>
          <w:i/>
        </w:rPr>
        <w:t>supra</w:t>
      </w:r>
      <w:r>
        <w:t xml:space="preserve">), Curtea a constatat că extrădarea sa nu va încălca art. 3 din Convenție. Cu toate acestea, reclamantul nu a fost extrădat și, în urma deciziilor ulterioare ale Curții pronunțate în cauzele </w:t>
      </w:r>
      <w:hyperlink r:id="rId22" w:history="1">
        <w:r>
          <w:rPr>
            <w:rStyle w:val="Hyperlink"/>
            <w:i/>
          </w:rPr>
          <w:t>Vinter și alții</w:t>
        </w:r>
      </w:hyperlink>
      <w:r>
        <w:t xml:space="preserve"> și </w:t>
      </w:r>
      <w:hyperlink r:id="rId23" w:history="1">
        <w:r>
          <w:rPr>
            <w:rStyle w:val="Hyperlink"/>
            <w:i/>
          </w:rPr>
          <w:t>Trabelsi</w:t>
        </w:r>
      </w:hyperlink>
      <w:r>
        <w:t>, acesta a susținut în fața instanțelor naționale că evoluția jurisprudenței Curții cu privire la art. 3 și pedeapsa detențiunii pe viață fără posibilitatea liberării condiționate era de așa natură încât să impună redeschiderea procesului. Instanțele britanice au respins cererea de redeschidere a procesului și, în această a doua cerere adresată Curții, reclamantul, invocând jurisprudența recentă, s-a plâns din nou că extrădarea lui ar încălca drepturile sale prevăzute la art. 3.</w:t>
      </w:r>
    </w:p>
    <w:p w14:paraId="4B2E5E31" w14:textId="3C21A0BD" w:rsidR="00B60715" w:rsidRPr="00B60715" w:rsidRDefault="00B60715" w:rsidP="00B60715">
      <w:pPr>
        <w:pStyle w:val="PCFViolation"/>
      </w:pPr>
      <w:r>
        <w:t xml:space="preserve">Marea Cameră a declarat ambele capete de cerere </w:t>
      </w:r>
      <w:r>
        <w:rPr>
          <w:b/>
        </w:rPr>
        <w:t>inadmisibile</w:t>
      </w:r>
      <w:r>
        <w:t xml:space="preserve">. Aceasta a hotărât mai întâi că trebuie declarate inadmisibile capetele de cerere formulate de reclamant în temeiul art. 3 din Convenție întrucât acestea erau „în mod esențial aceleași” [în sensul art. 35 § 2 lit. b) din Convenție], capătul de cerere referitor la art. 3 fiind examinat de Curte în 2012. Pentru a ajunge la această concluzie, Marea Cameră a respins argumentul reclamantului potrivit căruia evoluția jurisprudenței sale în cauzele </w:t>
      </w:r>
      <w:hyperlink r:id="rId24" w:history="1">
        <w:r>
          <w:rPr>
            <w:rStyle w:val="Hyperlink"/>
            <w:i/>
          </w:rPr>
          <w:t>Vinter și alții</w:t>
        </w:r>
      </w:hyperlink>
      <w:r>
        <w:t xml:space="preserve"> și </w:t>
      </w:r>
      <w:hyperlink r:id="rId25" w:history="1">
        <w:r>
          <w:rPr>
            <w:rStyle w:val="Hyperlink"/>
            <w:i/>
          </w:rPr>
          <w:t>Trabelsi</w:t>
        </w:r>
      </w:hyperlink>
      <w:r>
        <w:rPr>
          <w:i/>
        </w:rPr>
        <w:t xml:space="preserve"> </w:t>
      </w:r>
      <w:r>
        <w:t>ar putea conține „fapte noi” relevante în sensul art. 35 § 2 lit. b). A ajunge la o concluzie diferită ar submina principiul securității juridice și ar submina credibilitatea și autoritatea hotărârilor Curții. De asemenea, cu privire la capătul de cerere formulat de reclamant în temeiul art. 6 din Convenție, Marea Cameră a concluzionat că din situația de fapt nu reieșea niciun risc că reclamantul va suferi o flagrantă denegare de dreptate. În sfâ</w:t>
      </w:r>
      <w:r w:rsidR="0085267D">
        <w:t>r</w:t>
      </w:r>
      <w:r>
        <w:t xml:space="preserve">șit, Marea Cameră a decis, de asemenea, revocarea măsurii provizorii (în temeiul art. 39 din </w:t>
      </w:r>
      <w:hyperlink r:id="rId26" w:history="1">
        <w:r>
          <w:rPr>
            <w:rStyle w:val="Hyperlink"/>
          </w:rPr>
          <w:t>Regulamentul Curții</w:t>
        </w:r>
      </w:hyperlink>
      <w:r>
        <w:t>) care indica Guvernului britanic să amâne extrădarea reclamantului.</w:t>
      </w:r>
    </w:p>
    <w:p w14:paraId="4CE057F0" w14:textId="44C3B22A" w:rsidR="001F5561" w:rsidRPr="001F5561" w:rsidRDefault="001F5561" w:rsidP="001F5561">
      <w:pPr>
        <w:pStyle w:val="PCFHighlightedCaseIntro"/>
      </w:pPr>
      <w:r>
        <w:t>Cerer</w:t>
      </w:r>
      <w:r w:rsidR="0085267D">
        <w:t>i</w:t>
      </w:r>
      <w:r>
        <w:t xml:space="preserve"> pendinte</w:t>
      </w:r>
    </w:p>
    <w:p w14:paraId="559A7FBB" w14:textId="77777777" w:rsidR="00E95C90" w:rsidRPr="00E95C90" w:rsidRDefault="00085651" w:rsidP="00E95C90">
      <w:pPr>
        <w:pStyle w:val="PCFHeaderCaseGrey"/>
      </w:pPr>
      <w:hyperlink r:id="rId27" w:history="1">
        <w:r w:rsidR="00864D2B">
          <w:rPr>
            <w:rStyle w:val="Hyperlink"/>
          </w:rPr>
          <w:t>López Elorza împotriva Spaniei (nr. 30614/15)</w:t>
        </w:r>
      </w:hyperlink>
    </w:p>
    <w:p w14:paraId="23231834" w14:textId="2296CC40" w:rsidR="00E95C90" w:rsidRPr="00E95C90" w:rsidRDefault="00E95C90" w:rsidP="00E95C90">
      <w:pPr>
        <w:pStyle w:val="PCFHeaderDateGrey"/>
      </w:pPr>
      <w:r>
        <w:t xml:space="preserve">Cerere comunicată </w:t>
      </w:r>
      <w:r w:rsidR="0085267D">
        <w:t>g</w:t>
      </w:r>
      <w:r>
        <w:t>uvernului spaniol la 12 noiembrie 2015</w:t>
      </w:r>
    </w:p>
    <w:p w14:paraId="1464529E" w14:textId="581561F4" w:rsidR="00D64825" w:rsidRPr="00D64825" w:rsidRDefault="00D64825" w:rsidP="00D64825">
      <w:pPr>
        <w:pStyle w:val="PCFParaGrey"/>
      </w:pPr>
      <w:r>
        <w:t>Reclamantul, resortisant venezuel</w:t>
      </w:r>
      <w:r w:rsidR="001D5489">
        <w:t>e</w:t>
      </w:r>
      <w:r>
        <w:t>ano-columbian deținut în Madrid, este implicat într-o procedură de extrădare în Statele Unite, unde, afirmă el, riscă pedeapsa detențiunii pe viață fără posibilitatea liberării condiționate.</w:t>
      </w:r>
    </w:p>
    <w:p w14:paraId="67C23510" w14:textId="77777777" w:rsidR="00E95C90" w:rsidRDefault="00E95C90" w:rsidP="00E95C90">
      <w:pPr>
        <w:pStyle w:val="PCFViolationGrey"/>
      </w:pPr>
      <w:r>
        <w:t>Curtea a comunicat această cerere Guvernului spaniol și a adresat părților întrebări în temeiul art. 3 (Interzicerea tratamentelor inumane ori degradante) și art. 35 (Condiții de admisibilitate) din Convenție.</w:t>
      </w:r>
    </w:p>
    <w:p w14:paraId="5ACFE85A" w14:textId="77777777" w:rsidR="0085267D" w:rsidRDefault="0085267D" w:rsidP="00E95C90">
      <w:pPr>
        <w:pStyle w:val="PCFViolationGrey"/>
      </w:pPr>
    </w:p>
    <w:p w14:paraId="31FE2E4B" w14:textId="44E8238B" w:rsidR="0085267D" w:rsidRPr="00085651" w:rsidRDefault="0085267D" w:rsidP="00E95C90">
      <w:pPr>
        <w:pStyle w:val="PCFViolationGrey"/>
        <w:rPr>
          <w:b/>
        </w:rPr>
      </w:pPr>
      <w:hyperlink r:id="rId28" w:anchor="{&quot;itemid&quot;:[&quot;001-178537&quot;]}" w:history="1">
        <w:r w:rsidRPr="00085651">
          <w:rPr>
            <w:rStyle w:val="Hyperlink"/>
            <w:b/>
            <w14:textFill>
              <w14:solidFill>
                <w14:srgbClr w14:val="0072BC">
                  <w14:lumMod w14:val="40000"/>
                  <w14:lumOff w14:val="60000"/>
                </w14:srgbClr>
              </w14:solidFill>
            </w14:textFill>
          </w:rPr>
          <w:t>Romagnoli împotriva Muntenegrului (nr. 11200/15)</w:t>
        </w:r>
      </w:hyperlink>
      <w:r w:rsidRPr="00085651">
        <w:rPr>
          <w:b/>
          <w:color w:val="8DB3E2" w:themeColor="text2" w:themeTint="66"/>
        </w:rPr>
        <w:t xml:space="preserve"> </w:t>
      </w:r>
    </w:p>
    <w:p w14:paraId="3FF39FFA" w14:textId="4A0EE978" w:rsidR="0085267D" w:rsidRPr="00085651" w:rsidRDefault="0085267D" w:rsidP="00E95C90">
      <w:pPr>
        <w:pStyle w:val="PCFViolationGrey"/>
        <w:rPr>
          <w:sz w:val="18"/>
          <w:szCs w:val="18"/>
        </w:rPr>
      </w:pPr>
      <w:r w:rsidRPr="0085267D">
        <w:rPr>
          <w:sz w:val="18"/>
          <w:szCs w:val="18"/>
        </w:rPr>
        <w:t xml:space="preserve">Cerere comunicată </w:t>
      </w:r>
      <w:r>
        <w:rPr>
          <w:sz w:val="18"/>
          <w:szCs w:val="18"/>
        </w:rPr>
        <w:t>g</w:t>
      </w:r>
      <w:r w:rsidRPr="00085651">
        <w:rPr>
          <w:sz w:val="18"/>
          <w:szCs w:val="18"/>
        </w:rPr>
        <w:t xml:space="preserve">uvernului </w:t>
      </w:r>
      <w:r>
        <w:rPr>
          <w:sz w:val="18"/>
          <w:szCs w:val="18"/>
        </w:rPr>
        <w:t>muntenegrean la 19 octombrie 2017</w:t>
      </w:r>
    </w:p>
    <w:p w14:paraId="0109C939" w14:textId="77777777" w:rsidR="0085267D" w:rsidRDefault="0085267D" w:rsidP="00E95C90">
      <w:pPr>
        <w:pStyle w:val="PCFViolationGrey"/>
      </w:pPr>
      <w:r>
        <w:t xml:space="preserve">Reclamantul, resortisant italian, se plânge în legătură cu extrădarea sa în Statele Unite având în vedere sancțiunea penală de care era pasibil acolo. </w:t>
      </w:r>
    </w:p>
    <w:p w14:paraId="751198C3" w14:textId="169EE2E9" w:rsidR="0085267D" w:rsidRPr="00E95C90" w:rsidRDefault="0085267D" w:rsidP="00E95C90">
      <w:pPr>
        <w:pStyle w:val="PCFViolationGrey"/>
      </w:pPr>
      <w:r>
        <w:t>Curtea a comunicat această cerere guvernului muntenegrean și a adresat părților întrebări în temeiul art. 3 (Interzicerea tratamentelor inumane ori degradante) din Convenție</w:t>
      </w:r>
      <w:r w:rsidRPr="0085267D">
        <w:t>.</w:t>
      </w:r>
    </w:p>
    <w:p w14:paraId="207A9376" w14:textId="77777777" w:rsidR="00797BDA" w:rsidRDefault="00797BDA" w:rsidP="00797BDA">
      <w:pPr>
        <w:pStyle w:val="PCFHorizontalLine"/>
        <w:spacing w:before="0"/>
        <w:rPr>
          <w:lang w:eastAsia="fr-FR"/>
        </w:rPr>
      </w:pPr>
    </w:p>
    <w:p w14:paraId="0895183F" w14:textId="77777777" w:rsidR="0085267D" w:rsidRPr="0085267D" w:rsidRDefault="0085267D" w:rsidP="00085651">
      <w:pPr>
        <w:pStyle w:val="PCFContact"/>
      </w:pPr>
    </w:p>
    <w:p w14:paraId="7EB1DDC0" w14:textId="77777777" w:rsidR="0085267D" w:rsidRPr="0085267D" w:rsidRDefault="0085267D" w:rsidP="00085651">
      <w:pPr>
        <w:pStyle w:val="PCFContact"/>
      </w:pPr>
    </w:p>
    <w:p w14:paraId="7DFA1984" w14:textId="77777777" w:rsidR="0085267D" w:rsidRPr="0085267D" w:rsidRDefault="0085267D" w:rsidP="00085651">
      <w:pPr>
        <w:pStyle w:val="PCFContact"/>
      </w:pPr>
    </w:p>
    <w:p w14:paraId="1977D7E2" w14:textId="77777777" w:rsidR="00797BDA" w:rsidRPr="00757178" w:rsidRDefault="00797BDA" w:rsidP="00797BDA">
      <w:pPr>
        <w:pStyle w:val="PCFContact"/>
      </w:pPr>
      <w:r>
        <w:t>Contact media:</w:t>
      </w:r>
    </w:p>
    <w:p w14:paraId="25A1AD8E" w14:textId="77777777" w:rsidR="00797BDA" w:rsidRPr="00757178" w:rsidRDefault="00797BDA" w:rsidP="00797BDA">
      <w:pPr>
        <w:pStyle w:val="PCFContact"/>
        <w:rPr>
          <w:b w:val="0"/>
        </w:rPr>
      </w:pPr>
      <w:r>
        <w:rPr>
          <w:b w:val="0"/>
        </w:rPr>
        <w:t>Tel.: + 33 (0)3 90 21 42 08</w:t>
      </w:r>
    </w:p>
    <w:p w14:paraId="468BD9C2" w14:textId="77777777" w:rsidR="003E2605" w:rsidRPr="00797BDA" w:rsidRDefault="003E2605" w:rsidP="00797BDA"/>
    <w:sectPr w:rsidR="003E2605" w:rsidRPr="00797BDA" w:rsidSect="00845615">
      <w:headerReference w:type="default" r:id="rId29"/>
      <w:footerReference w:type="default" r:id="rId30"/>
      <w:headerReference w:type="first" r:id="rId31"/>
      <w:footerReference w:type="first" r:id="rId32"/>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2F0F2" w14:textId="77777777" w:rsidR="0081594A" w:rsidRDefault="0081594A">
      <w:r>
        <w:separator/>
      </w:r>
    </w:p>
  </w:endnote>
  <w:endnote w:type="continuationSeparator" w:id="0">
    <w:p w14:paraId="028A24A1" w14:textId="77777777" w:rsidR="0081594A" w:rsidRDefault="0081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E915A" w14:textId="77777777" w:rsidR="00D72E35" w:rsidRDefault="00D72E35" w:rsidP="00B92054">
    <w:pPr>
      <w:pStyle w:val="Footer"/>
    </w:pPr>
    <w:r>
      <w:fldChar w:fldCharType="begin"/>
    </w:r>
    <w:r>
      <w:instrText xml:space="preserve"> </w:instrText>
    </w:r>
    <w:r w:rsidR="00037D88">
      <w:instrText>PAGE</w:instrText>
    </w:r>
    <w:r>
      <w:instrText xml:space="preserve"> </w:instrText>
    </w:r>
    <w:r>
      <w:fldChar w:fldCharType="separate"/>
    </w:r>
    <w:r w:rsidR="00085651">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A903A" w14:textId="77777777" w:rsidR="00D72E35" w:rsidRPr="00150BFA" w:rsidRDefault="00D72E35" w:rsidP="007C4E2D">
    <w:pPr>
      <w:jc w:val="center"/>
      <w:rPr>
        <w:sz w:val="4"/>
        <w:szCs w:val="4"/>
      </w:rPr>
    </w:pPr>
  </w:p>
  <w:p w14:paraId="3EBBA57C" w14:textId="77777777" w:rsidR="00D72E35" w:rsidRPr="003F0DCA" w:rsidRDefault="00D72E35" w:rsidP="003F0DCA">
    <w:pPr>
      <w:pStyle w:val="Footer"/>
      <w:rPr>
        <w:sz w:val="4"/>
        <w:szCs w:val="4"/>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D71E" w14:textId="77777777" w:rsidR="0081594A" w:rsidRDefault="0081594A">
      <w:r>
        <w:separator/>
      </w:r>
    </w:p>
  </w:footnote>
  <w:footnote w:type="continuationSeparator" w:id="0">
    <w:p w14:paraId="578B6BD9" w14:textId="77777777" w:rsidR="0081594A" w:rsidRDefault="0081594A">
      <w:r>
        <w:continuationSeparator/>
      </w:r>
    </w:p>
  </w:footnote>
  <w:footnote w:id="1">
    <w:p w14:paraId="7F15F5CA" w14:textId="77777777" w:rsidR="00C12078" w:rsidRPr="00C12078" w:rsidRDefault="00C12078" w:rsidP="00C12078">
      <w:pPr>
        <w:pStyle w:val="FootnoteText"/>
        <w:jc w:val="both"/>
      </w:pPr>
      <w:r>
        <w:rPr>
          <w:rStyle w:val="FootnoteReference"/>
        </w:rPr>
        <w:footnoteRef/>
      </w:r>
      <w:r>
        <w:t>. A se vedea raportul general privind tratamentul persoanelor în detenție de lungă durată, întocmit de Subcomitetul nr. XXV al Comitetului european pentru probleme criminale (Consiliul Europei, 1977) și Rezoluția (76) 2 privind tratamentul deținuților aflați în executarea unor pedepse de lungă durată, adoptată de Comitetul de Miniștri al Consiliului Europei în contextul activității subcomitetului.</w:t>
      </w:r>
    </w:p>
  </w:footnote>
  <w:footnote w:id="2">
    <w:p w14:paraId="0883391A" w14:textId="0E2688AC" w:rsidR="00797BDA" w:rsidRPr="0087492C" w:rsidRDefault="00797BDA" w:rsidP="00797BDA">
      <w:pPr>
        <w:pStyle w:val="FootnoteText"/>
        <w:tabs>
          <w:tab w:val="left" w:pos="567"/>
          <w:tab w:val="left" w:pos="709"/>
        </w:tabs>
        <w:jc w:val="both"/>
        <w:rPr>
          <w:szCs w:val="16"/>
        </w:rPr>
      </w:pPr>
      <w:r>
        <w:rPr>
          <w:rStyle w:val="FootnoteReference"/>
          <w:sz w:val="16"/>
          <w:szCs w:val="16"/>
        </w:rPr>
        <w:footnoteRef/>
      </w:r>
      <w:r>
        <w:t xml:space="preserve">. Examinarea capetelor de cerere formulate de al șaselea reclamant a fost </w:t>
      </w:r>
      <w:r w:rsidR="00330B5F">
        <w:t>amânată</w:t>
      </w:r>
      <w:r>
        <w:t>, iar Curtea a decis să le examineze în cadrul unei cereri cu număr nou (nr. 17299/12).</w:t>
      </w:r>
    </w:p>
  </w:footnote>
  <w:footnote w:id="3">
    <w:p w14:paraId="2D325185" w14:textId="77777777" w:rsidR="00797BDA" w:rsidRPr="004335BB" w:rsidRDefault="00797BDA" w:rsidP="00797BDA">
      <w:pPr>
        <w:pStyle w:val="FootnoteText"/>
        <w:jc w:val="both"/>
        <w:rPr>
          <w:szCs w:val="16"/>
        </w:rPr>
      </w:pPr>
      <w:r>
        <w:rPr>
          <w:rStyle w:val="FootnoteReference"/>
          <w:sz w:val="16"/>
          <w:szCs w:val="16"/>
        </w:rPr>
        <w:footnoteRef/>
      </w:r>
      <w:r>
        <w:t xml:space="preserve">. Măsurile provizorii sunt măsuri adoptate în cadrul procedurii în fața Curții și sunt obligatorii pentru statul în cauză. Acestea nu au efect asupra deciziilor ulterioare ale Curții cu privire la admisibilitatea cererilor sau fondul cauzelor respective. În cazul în care Curtea admite cererea de măsuri provizorii, expulzarea reclamantului se suspendă cât timp Curtea examinează cererea (cu toate acestea, Curtea urmărește situația reclamantului și poate revoca măsura în cursul examinării cauzei). A se vedea, de asemenea, fișa tematică </w:t>
      </w:r>
      <w:hyperlink r:id="rId1" w:history="1">
        <w:r>
          <w:rPr>
            <w:rStyle w:val="Hyperlink"/>
            <w:sz w:val="16"/>
            <w:szCs w:val="16"/>
          </w:rPr>
          <w:t>„Măsurile provizorii”</w:t>
        </w:r>
      </w:hyperlink>
      <w:r>
        <w:t>.</w:t>
      </w:r>
    </w:p>
  </w:footnote>
  <w:footnote w:id="4">
    <w:p w14:paraId="7E6E2232" w14:textId="77777777" w:rsidR="00797BDA" w:rsidRPr="004335BB" w:rsidRDefault="00797BDA" w:rsidP="00797BDA">
      <w:pPr>
        <w:pStyle w:val="FootnoteText"/>
        <w:jc w:val="both"/>
        <w:rPr>
          <w:szCs w:val="16"/>
        </w:rPr>
      </w:pPr>
      <w:r>
        <w:rPr>
          <w:rStyle w:val="FootnoteReference"/>
          <w:sz w:val="16"/>
          <w:szCs w:val="16"/>
        </w:rPr>
        <w:footnoteRef/>
      </w:r>
      <w:r>
        <w:t>. „Discreționară” în sensul că judecătorul poate aplica o pedeapsă mai puțin severă, dispunând un anumit număr de ani de închisoare.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567" w:type="dxa"/>
      <w:tblBorders>
        <w:top w:val="single" w:sz="8" w:space="0" w:color="FFFFFF"/>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5814"/>
      <w:gridCol w:w="4392"/>
    </w:tblGrid>
    <w:tr w:rsidR="00D72E35" w:rsidRPr="007B3593" w14:paraId="2C302FFC" w14:textId="77777777" w:rsidTr="0059627F">
      <w:tc>
        <w:tcPr>
          <w:tcW w:w="6061" w:type="dxa"/>
          <w:shd w:val="clear" w:color="auto" w:fill="auto"/>
          <w:vAlign w:val="bottom"/>
        </w:tcPr>
        <w:p w14:paraId="0D486164" w14:textId="77777777" w:rsidR="00D72E35" w:rsidRPr="007B3593" w:rsidRDefault="00D72E35" w:rsidP="0054125B">
          <w:pPr>
            <w:pStyle w:val="PCFPara"/>
            <w:jc w:val="center"/>
          </w:pPr>
          <w:r>
            <w:t>Fișă tematică – Extrădare și detențiune pe viață</w:t>
          </w:r>
        </w:p>
      </w:tc>
      <w:tc>
        <w:tcPr>
          <w:tcW w:w="4621" w:type="dxa"/>
          <w:shd w:val="clear" w:color="auto" w:fill="auto"/>
          <w:vAlign w:val="bottom"/>
        </w:tcPr>
        <w:p w14:paraId="2CCCFC51" w14:textId="77777777" w:rsidR="00D72E35" w:rsidRPr="007B3593" w:rsidRDefault="00D72E35" w:rsidP="00521855">
          <w:pPr>
            <w:jc w:val="right"/>
            <w:rPr>
              <w:sz w:val="4"/>
              <w:szCs w:val="4"/>
              <w:lang w:val="en-GB"/>
            </w:rPr>
          </w:pPr>
        </w:p>
        <w:p w14:paraId="4EF871BD" w14:textId="77777777" w:rsidR="00D72E35" w:rsidRPr="007B3593" w:rsidRDefault="00D72E35" w:rsidP="0059627F">
          <w:pPr>
            <w:pStyle w:val="Header"/>
            <w:jc w:val="right"/>
            <w:rPr>
              <w:sz w:val="4"/>
              <w:szCs w:val="4"/>
              <w:lang w:val="en-GB"/>
            </w:rPr>
          </w:pPr>
        </w:p>
      </w:tc>
    </w:tr>
  </w:tbl>
  <w:p w14:paraId="4FADA598" w14:textId="77777777" w:rsidR="00D72E35" w:rsidRPr="007B3593" w:rsidRDefault="00D72E3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tblInd w:w="-567"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268"/>
      <w:gridCol w:w="5938"/>
    </w:tblGrid>
    <w:tr w:rsidR="00D72E35" w:rsidRPr="00B60715" w14:paraId="6D7B9457" w14:textId="77777777" w:rsidTr="0059627F">
      <w:tc>
        <w:tcPr>
          <w:tcW w:w="4536" w:type="dxa"/>
          <w:shd w:val="clear" w:color="auto" w:fill="auto"/>
          <w:vAlign w:val="bottom"/>
        </w:tcPr>
        <w:p w14:paraId="5A7FFF63" w14:textId="77777777" w:rsidR="00D72E35" w:rsidRPr="007B3593" w:rsidRDefault="00D72E35">
          <w:pPr>
            <w:rPr>
              <w:sz w:val="8"/>
              <w:szCs w:val="8"/>
              <w:lang w:val="en-GB"/>
            </w:rPr>
          </w:pPr>
        </w:p>
        <w:p w14:paraId="7B755220" w14:textId="77777777" w:rsidR="00D72E35" w:rsidRPr="007B3593" w:rsidRDefault="00D72E35" w:rsidP="00E96541">
          <w:pPr>
            <w:rPr>
              <w:sz w:val="4"/>
              <w:szCs w:val="4"/>
              <w:lang w:val="en-GB"/>
            </w:rPr>
          </w:pPr>
        </w:p>
      </w:tc>
      <w:tc>
        <w:tcPr>
          <w:tcW w:w="6237" w:type="dxa"/>
          <w:shd w:val="clear" w:color="auto" w:fill="auto"/>
          <w:vAlign w:val="bottom"/>
        </w:tcPr>
        <w:p w14:paraId="5EDC9BAC" w14:textId="77777777" w:rsidR="00D72E35" w:rsidRPr="007B3593" w:rsidRDefault="00D72E35" w:rsidP="00521855">
          <w:pPr>
            <w:jc w:val="right"/>
            <w:rPr>
              <w:sz w:val="4"/>
              <w:szCs w:val="4"/>
            </w:rPr>
          </w:pPr>
          <w:bookmarkStart w:id="1" w:name="OLE_LINK3"/>
          <w:bookmarkStart w:id="2" w:name="OLE_LINK4"/>
        </w:p>
        <w:p w14:paraId="504CEDAD" w14:textId="77777777" w:rsidR="00D72E35" w:rsidRPr="007B3593" w:rsidRDefault="00D72E35" w:rsidP="00B53E8C">
          <w:pPr>
            <w:rPr>
              <w:szCs w:val="4"/>
              <w:lang w:val="en-GB"/>
            </w:rPr>
          </w:pPr>
        </w:p>
        <w:bookmarkEnd w:id="1"/>
        <w:bookmarkEnd w:id="2"/>
        <w:p w14:paraId="3246D7AC" w14:textId="77777777" w:rsidR="00D72E35" w:rsidRPr="007B3593" w:rsidRDefault="00D72E35" w:rsidP="00E96541">
          <w:pPr>
            <w:rPr>
              <w:lang w:val="en-GB"/>
            </w:rPr>
          </w:pPr>
        </w:p>
        <w:p w14:paraId="62CCA272" w14:textId="77777777" w:rsidR="00D72E35" w:rsidRPr="007B3593" w:rsidRDefault="00D72E35" w:rsidP="00E96541">
          <w:pPr>
            <w:rPr>
              <w:lang w:val="en-GB"/>
            </w:rPr>
          </w:pPr>
        </w:p>
        <w:p w14:paraId="5F80DBC2" w14:textId="77777777" w:rsidR="00D72E35" w:rsidRPr="007B3593" w:rsidRDefault="00D72E35" w:rsidP="00F61652">
          <w:pPr>
            <w:tabs>
              <w:tab w:val="left" w:pos="5777"/>
            </w:tabs>
            <w:ind w:left="107"/>
            <w:jc w:val="right"/>
          </w:pPr>
          <w:r>
            <w:t>Fișă tematică – Extrădare și detențiune pe viață</w:t>
          </w:r>
        </w:p>
      </w:tc>
    </w:tr>
  </w:tbl>
  <w:p w14:paraId="38F6B8E7" w14:textId="77777777" w:rsidR="00D72E35" w:rsidRPr="007B3593" w:rsidRDefault="00D72E35" w:rsidP="00845615">
    <w:pPr>
      <w:pStyle w:val="Header"/>
      <w:rPr>
        <w:sz w:val="4"/>
        <w:szCs w:val="4"/>
        <w:lang w:val="en-GB"/>
      </w:rPr>
    </w:pPr>
  </w:p>
  <w:p w14:paraId="6C2053F3" w14:textId="77777777" w:rsidR="00D72E35" w:rsidRPr="007B3593" w:rsidRDefault="00D72E35" w:rsidP="00845615">
    <w:pPr>
      <w:pStyle w:val="Header"/>
      <w:rPr>
        <w:szCs w:val="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26809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C6A65D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83216E0"/>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34F44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DD47C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967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3D7D78"/>
    <w:multiLevelType w:val="multilevel"/>
    <w:tmpl w:val="942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087ED4"/>
    <w:multiLevelType w:val="multilevel"/>
    <w:tmpl w:val="AC7E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17"/>
  </w:num>
  <w:num w:numId="14">
    <w:abstractNumId w:val="18"/>
  </w:num>
  <w:num w:numId="15">
    <w:abstractNumId w:val="19"/>
  </w:num>
  <w:num w:numId="16">
    <w:abstractNumId w:val="11"/>
  </w:num>
  <w:num w:numId="17">
    <w:abstractNumId w:val="11"/>
  </w:num>
  <w:num w:numId="18">
    <w:abstractNumId w:val="11"/>
  </w:num>
  <w:num w:numId="19">
    <w:abstractNumId w:val="13"/>
  </w:num>
  <w:num w:numId="20">
    <w:abstractNumId w:val="13"/>
  </w:num>
  <w:num w:numId="21">
    <w:abstractNumId w:val="13"/>
  </w:num>
  <w:num w:numId="22">
    <w:abstractNumId w:val="12"/>
  </w:num>
  <w:num w:numId="23">
    <w:abstractNumId w:val="14"/>
  </w:num>
  <w:num w:numId="24">
    <w:abstractNumId w:val="22"/>
  </w:num>
  <w:num w:numId="25">
    <w:abstractNumId w:val="0"/>
  </w:num>
  <w:num w:numId="26">
    <w:abstractNumId w:val="15"/>
  </w:num>
  <w:num w:numId="27">
    <w:abstractNumId w:val="2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855"/>
    <w:rsid w:val="00001952"/>
    <w:rsid w:val="000028CD"/>
    <w:rsid w:val="00005C7A"/>
    <w:rsid w:val="00011F83"/>
    <w:rsid w:val="000130AF"/>
    <w:rsid w:val="00013969"/>
    <w:rsid w:val="00013A4E"/>
    <w:rsid w:val="00014092"/>
    <w:rsid w:val="00015EF9"/>
    <w:rsid w:val="0001782D"/>
    <w:rsid w:val="000234B4"/>
    <w:rsid w:val="00024098"/>
    <w:rsid w:val="00027AD1"/>
    <w:rsid w:val="00031644"/>
    <w:rsid w:val="00034B84"/>
    <w:rsid w:val="00037D88"/>
    <w:rsid w:val="00042975"/>
    <w:rsid w:val="00044433"/>
    <w:rsid w:val="000447A4"/>
    <w:rsid w:val="00053E72"/>
    <w:rsid w:val="00056387"/>
    <w:rsid w:val="00064D30"/>
    <w:rsid w:val="00067ED6"/>
    <w:rsid w:val="0007211C"/>
    <w:rsid w:val="00073B1A"/>
    <w:rsid w:val="00073F1F"/>
    <w:rsid w:val="000764FE"/>
    <w:rsid w:val="00081DCF"/>
    <w:rsid w:val="00082534"/>
    <w:rsid w:val="00083952"/>
    <w:rsid w:val="00085651"/>
    <w:rsid w:val="000861FE"/>
    <w:rsid w:val="000873A9"/>
    <w:rsid w:val="00087701"/>
    <w:rsid w:val="00087A35"/>
    <w:rsid w:val="00090E4D"/>
    <w:rsid w:val="00091707"/>
    <w:rsid w:val="000921D4"/>
    <w:rsid w:val="000940CE"/>
    <w:rsid w:val="00097B26"/>
    <w:rsid w:val="000A005F"/>
    <w:rsid w:val="000A10D7"/>
    <w:rsid w:val="000A1B3F"/>
    <w:rsid w:val="000A680A"/>
    <w:rsid w:val="000A6B6C"/>
    <w:rsid w:val="000B17B2"/>
    <w:rsid w:val="000B1E3A"/>
    <w:rsid w:val="000B300E"/>
    <w:rsid w:val="000B36AD"/>
    <w:rsid w:val="000B49D8"/>
    <w:rsid w:val="000B5F9D"/>
    <w:rsid w:val="000C080D"/>
    <w:rsid w:val="000C0A8E"/>
    <w:rsid w:val="000C7518"/>
    <w:rsid w:val="000D07E5"/>
    <w:rsid w:val="000D100A"/>
    <w:rsid w:val="000D4A3E"/>
    <w:rsid w:val="000E3905"/>
    <w:rsid w:val="000E46D5"/>
    <w:rsid w:val="000E6492"/>
    <w:rsid w:val="000E797C"/>
    <w:rsid w:val="000F0FB4"/>
    <w:rsid w:val="000F1064"/>
    <w:rsid w:val="000F32B2"/>
    <w:rsid w:val="000F46A7"/>
    <w:rsid w:val="000F53AE"/>
    <w:rsid w:val="000F62C9"/>
    <w:rsid w:val="000F6733"/>
    <w:rsid w:val="00100A86"/>
    <w:rsid w:val="00100B4F"/>
    <w:rsid w:val="00101441"/>
    <w:rsid w:val="00101D68"/>
    <w:rsid w:val="00102170"/>
    <w:rsid w:val="001048C3"/>
    <w:rsid w:val="0011045E"/>
    <w:rsid w:val="00110D99"/>
    <w:rsid w:val="0011256B"/>
    <w:rsid w:val="00113E26"/>
    <w:rsid w:val="00113F0A"/>
    <w:rsid w:val="00114086"/>
    <w:rsid w:val="00114CEB"/>
    <w:rsid w:val="00115549"/>
    <w:rsid w:val="001204B5"/>
    <w:rsid w:val="00120936"/>
    <w:rsid w:val="00122FAC"/>
    <w:rsid w:val="00130125"/>
    <w:rsid w:val="00132E1B"/>
    <w:rsid w:val="00133261"/>
    <w:rsid w:val="00134508"/>
    <w:rsid w:val="00137BFF"/>
    <w:rsid w:val="0014683F"/>
    <w:rsid w:val="00147BF1"/>
    <w:rsid w:val="00151295"/>
    <w:rsid w:val="001529B2"/>
    <w:rsid w:val="00154380"/>
    <w:rsid w:val="001567A5"/>
    <w:rsid w:val="00157A01"/>
    <w:rsid w:val="001602AE"/>
    <w:rsid w:val="001607C9"/>
    <w:rsid w:val="0016331E"/>
    <w:rsid w:val="0016465A"/>
    <w:rsid w:val="001656ED"/>
    <w:rsid w:val="00165E38"/>
    <w:rsid w:val="001675AB"/>
    <w:rsid w:val="001675DE"/>
    <w:rsid w:val="00167626"/>
    <w:rsid w:val="00172773"/>
    <w:rsid w:val="00173F4E"/>
    <w:rsid w:val="00174680"/>
    <w:rsid w:val="00174875"/>
    <w:rsid w:val="00174ED8"/>
    <w:rsid w:val="00177522"/>
    <w:rsid w:val="00180BE1"/>
    <w:rsid w:val="001811B0"/>
    <w:rsid w:val="0018434E"/>
    <w:rsid w:val="00186595"/>
    <w:rsid w:val="00191E26"/>
    <w:rsid w:val="00194D8D"/>
    <w:rsid w:val="001A129C"/>
    <w:rsid w:val="001A5561"/>
    <w:rsid w:val="001B01B2"/>
    <w:rsid w:val="001B25A9"/>
    <w:rsid w:val="001B3232"/>
    <w:rsid w:val="001B4825"/>
    <w:rsid w:val="001B5FF8"/>
    <w:rsid w:val="001B637B"/>
    <w:rsid w:val="001B6FBF"/>
    <w:rsid w:val="001C56F0"/>
    <w:rsid w:val="001D17E9"/>
    <w:rsid w:val="001D35EB"/>
    <w:rsid w:val="001D4A27"/>
    <w:rsid w:val="001D5489"/>
    <w:rsid w:val="001D5580"/>
    <w:rsid w:val="001D58D6"/>
    <w:rsid w:val="001D5DE2"/>
    <w:rsid w:val="001D62DE"/>
    <w:rsid w:val="001D65CF"/>
    <w:rsid w:val="001E3454"/>
    <w:rsid w:val="001E3EB2"/>
    <w:rsid w:val="001E5B0D"/>
    <w:rsid w:val="001F24AC"/>
    <w:rsid w:val="001F33B4"/>
    <w:rsid w:val="001F4846"/>
    <w:rsid w:val="001F5561"/>
    <w:rsid w:val="001F57B0"/>
    <w:rsid w:val="0020340D"/>
    <w:rsid w:val="00204598"/>
    <w:rsid w:val="002056EC"/>
    <w:rsid w:val="00210F68"/>
    <w:rsid w:val="00213E91"/>
    <w:rsid w:val="0021745D"/>
    <w:rsid w:val="00221513"/>
    <w:rsid w:val="00221A47"/>
    <w:rsid w:val="002248D1"/>
    <w:rsid w:val="00230845"/>
    <w:rsid w:val="00230984"/>
    <w:rsid w:val="00231D4C"/>
    <w:rsid w:val="00232C8D"/>
    <w:rsid w:val="00232F6A"/>
    <w:rsid w:val="002437F7"/>
    <w:rsid w:val="00244777"/>
    <w:rsid w:val="002447E2"/>
    <w:rsid w:val="00246C75"/>
    <w:rsid w:val="00247A01"/>
    <w:rsid w:val="002541DB"/>
    <w:rsid w:val="0025435A"/>
    <w:rsid w:val="002550DE"/>
    <w:rsid w:val="00255267"/>
    <w:rsid w:val="00256FBA"/>
    <w:rsid w:val="002574FB"/>
    <w:rsid w:val="00261B02"/>
    <w:rsid w:val="00261BC1"/>
    <w:rsid w:val="002620E5"/>
    <w:rsid w:val="00266911"/>
    <w:rsid w:val="002669FF"/>
    <w:rsid w:val="002675E7"/>
    <w:rsid w:val="00271D17"/>
    <w:rsid w:val="0027453F"/>
    <w:rsid w:val="0028040B"/>
    <w:rsid w:val="00280418"/>
    <w:rsid w:val="002819DB"/>
    <w:rsid w:val="00282448"/>
    <w:rsid w:val="00282E00"/>
    <w:rsid w:val="00286681"/>
    <w:rsid w:val="00286AFA"/>
    <w:rsid w:val="00297BD7"/>
    <w:rsid w:val="002A0D40"/>
    <w:rsid w:val="002A0EAF"/>
    <w:rsid w:val="002A1D4D"/>
    <w:rsid w:val="002A308C"/>
    <w:rsid w:val="002B4402"/>
    <w:rsid w:val="002B54C1"/>
    <w:rsid w:val="002B5582"/>
    <w:rsid w:val="002B7681"/>
    <w:rsid w:val="002C131F"/>
    <w:rsid w:val="002C1C8B"/>
    <w:rsid w:val="002C3AE4"/>
    <w:rsid w:val="002C59C3"/>
    <w:rsid w:val="002C6D81"/>
    <w:rsid w:val="002C6E5E"/>
    <w:rsid w:val="002C709F"/>
    <w:rsid w:val="002D2C9B"/>
    <w:rsid w:val="002D44CF"/>
    <w:rsid w:val="002D59E8"/>
    <w:rsid w:val="002E0F2D"/>
    <w:rsid w:val="002E1E02"/>
    <w:rsid w:val="002E2AAC"/>
    <w:rsid w:val="002E755F"/>
    <w:rsid w:val="002F3409"/>
    <w:rsid w:val="002F3882"/>
    <w:rsid w:val="002F66AE"/>
    <w:rsid w:val="00303497"/>
    <w:rsid w:val="003074E5"/>
    <w:rsid w:val="00307766"/>
    <w:rsid w:val="00312644"/>
    <w:rsid w:val="00312AFB"/>
    <w:rsid w:val="00312E06"/>
    <w:rsid w:val="003135DD"/>
    <w:rsid w:val="00316F68"/>
    <w:rsid w:val="0032286A"/>
    <w:rsid w:val="0032321A"/>
    <w:rsid w:val="00330566"/>
    <w:rsid w:val="00330B5F"/>
    <w:rsid w:val="00330C3F"/>
    <w:rsid w:val="0033134E"/>
    <w:rsid w:val="003358D7"/>
    <w:rsid w:val="003375C3"/>
    <w:rsid w:val="003422CB"/>
    <w:rsid w:val="00343011"/>
    <w:rsid w:val="00352A29"/>
    <w:rsid w:val="00356339"/>
    <w:rsid w:val="00357FDB"/>
    <w:rsid w:val="00361C26"/>
    <w:rsid w:val="003641F6"/>
    <w:rsid w:val="00364300"/>
    <w:rsid w:val="00366FC8"/>
    <w:rsid w:val="00367474"/>
    <w:rsid w:val="00371212"/>
    <w:rsid w:val="00371482"/>
    <w:rsid w:val="00371DCD"/>
    <w:rsid w:val="00375896"/>
    <w:rsid w:val="00376A2E"/>
    <w:rsid w:val="00384DCE"/>
    <w:rsid w:val="00385054"/>
    <w:rsid w:val="00385071"/>
    <w:rsid w:val="003936C5"/>
    <w:rsid w:val="00395547"/>
    <w:rsid w:val="003A06C5"/>
    <w:rsid w:val="003A4CFF"/>
    <w:rsid w:val="003A7355"/>
    <w:rsid w:val="003B1439"/>
    <w:rsid w:val="003B5160"/>
    <w:rsid w:val="003B6A70"/>
    <w:rsid w:val="003C4FA6"/>
    <w:rsid w:val="003C5820"/>
    <w:rsid w:val="003C5C92"/>
    <w:rsid w:val="003C713A"/>
    <w:rsid w:val="003D1FEB"/>
    <w:rsid w:val="003E05C2"/>
    <w:rsid w:val="003E2605"/>
    <w:rsid w:val="003E441B"/>
    <w:rsid w:val="003E631B"/>
    <w:rsid w:val="003E7895"/>
    <w:rsid w:val="003F034F"/>
    <w:rsid w:val="003F0DCA"/>
    <w:rsid w:val="003F2BDA"/>
    <w:rsid w:val="003F3877"/>
    <w:rsid w:val="003F395C"/>
    <w:rsid w:val="00401708"/>
    <w:rsid w:val="00406B9D"/>
    <w:rsid w:val="00411593"/>
    <w:rsid w:val="00411EA8"/>
    <w:rsid w:val="00415654"/>
    <w:rsid w:val="00421FBB"/>
    <w:rsid w:val="00422BFB"/>
    <w:rsid w:val="0042577B"/>
    <w:rsid w:val="0042591D"/>
    <w:rsid w:val="00426736"/>
    <w:rsid w:val="00427AF4"/>
    <w:rsid w:val="00431034"/>
    <w:rsid w:val="00431573"/>
    <w:rsid w:val="004335BB"/>
    <w:rsid w:val="00433998"/>
    <w:rsid w:val="0043433F"/>
    <w:rsid w:val="00434C36"/>
    <w:rsid w:val="00437241"/>
    <w:rsid w:val="00445DE7"/>
    <w:rsid w:val="00445E6E"/>
    <w:rsid w:val="00446D78"/>
    <w:rsid w:val="0044755A"/>
    <w:rsid w:val="00450364"/>
    <w:rsid w:val="004513A7"/>
    <w:rsid w:val="004568E0"/>
    <w:rsid w:val="004614B3"/>
    <w:rsid w:val="00462AAE"/>
    <w:rsid w:val="00465DA5"/>
    <w:rsid w:val="00466983"/>
    <w:rsid w:val="00467559"/>
    <w:rsid w:val="0047164D"/>
    <w:rsid w:val="004738BE"/>
    <w:rsid w:val="0047486C"/>
    <w:rsid w:val="004773AC"/>
    <w:rsid w:val="00477521"/>
    <w:rsid w:val="00477949"/>
    <w:rsid w:val="00480D87"/>
    <w:rsid w:val="00482871"/>
    <w:rsid w:val="004836CE"/>
    <w:rsid w:val="0048384B"/>
    <w:rsid w:val="00485A80"/>
    <w:rsid w:val="00490010"/>
    <w:rsid w:val="00490161"/>
    <w:rsid w:val="004A0393"/>
    <w:rsid w:val="004A06BD"/>
    <w:rsid w:val="004A2F39"/>
    <w:rsid w:val="004A659A"/>
    <w:rsid w:val="004B23B3"/>
    <w:rsid w:val="004B37AD"/>
    <w:rsid w:val="004B3959"/>
    <w:rsid w:val="004B41F8"/>
    <w:rsid w:val="004B4471"/>
    <w:rsid w:val="004B7C02"/>
    <w:rsid w:val="004C109B"/>
    <w:rsid w:val="004C4488"/>
    <w:rsid w:val="004C6F76"/>
    <w:rsid w:val="004D55EE"/>
    <w:rsid w:val="004D5769"/>
    <w:rsid w:val="004D5C04"/>
    <w:rsid w:val="004D633F"/>
    <w:rsid w:val="004E1FE9"/>
    <w:rsid w:val="004E397F"/>
    <w:rsid w:val="004E6012"/>
    <w:rsid w:val="004E6A73"/>
    <w:rsid w:val="004E77BB"/>
    <w:rsid w:val="004E7FBE"/>
    <w:rsid w:val="004F04E3"/>
    <w:rsid w:val="004F09BB"/>
    <w:rsid w:val="004F0F3A"/>
    <w:rsid w:val="004F0F72"/>
    <w:rsid w:val="004F4316"/>
    <w:rsid w:val="004F492A"/>
    <w:rsid w:val="004F58CE"/>
    <w:rsid w:val="004F5953"/>
    <w:rsid w:val="004F5F65"/>
    <w:rsid w:val="004F6746"/>
    <w:rsid w:val="005009D3"/>
    <w:rsid w:val="0050235D"/>
    <w:rsid w:val="00503CB3"/>
    <w:rsid w:val="00504385"/>
    <w:rsid w:val="00505964"/>
    <w:rsid w:val="005069CF"/>
    <w:rsid w:val="005110E8"/>
    <w:rsid w:val="005123CB"/>
    <w:rsid w:val="00512C7A"/>
    <w:rsid w:val="00521855"/>
    <w:rsid w:val="00524991"/>
    <w:rsid w:val="00525110"/>
    <w:rsid w:val="00525304"/>
    <w:rsid w:val="00532143"/>
    <w:rsid w:val="0053227B"/>
    <w:rsid w:val="00532D11"/>
    <w:rsid w:val="00533430"/>
    <w:rsid w:val="00540EC4"/>
    <w:rsid w:val="0054125B"/>
    <w:rsid w:val="00541CCA"/>
    <w:rsid w:val="00542037"/>
    <w:rsid w:val="0054335B"/>
    <w:rsid w:val="00546FC0"/>
    <w:rsid w:val="00550B5E"/>
    <w:rsid w:val="00552C48"/>
    <w:rsid w:val="005547A3"/>
    <w:rsid w:val="0055712E"/>
    <w:rsid w:val="005575C4"/>
    <w:rsid w:val="00560A14"/>
    <w:rsid w:val="005624F3"/>
    <w:rsid w:val="00563CFC"/>
    <w:rsid w:val="005649C5"/>
    <w:rsid w:val="00572160"/>
    <w:rsid w:val="005730AA"/>
    <w:rsid w:val="005737EF"/>
    <w:rsid w:val="00575BA8"/>
    <w:rsid w:val="0057671E"/>
    <w:rsid w:val="00576CAA"/>
    <w:rsid w:val="00577EC9"/>
    <w:rsid w:val="0058274C"/>
    <w:rsid w:val="00582A68"/>
    <w:rsid w:val="00583447"/>
    <w:rsid w:val="005851A2"/>
    <w:rsid w:val="005875C9"/>
    <w:rsid w:val="00590FC7"/>
    <w:rsid w:val="005914C4"/>
    <w:rsid w:val="005917DD"/>
    <w:rsid w:val="00593EFE"/>
    <w:rsid w:val="00594C40"/>
    <w:rsid w:val="0059627F"/>
    <w:rsid w:val="00597395"/>
    <w:rsid w:val="005A34F2"/>
    <w:rsid w:val="005B0251"/>
    <w:rsid w:val="005B6E05"/>
    <w:rsid w:val="005B7481"/>
    <w:rsid w:val="005C15F6"/>
    <w:rsid w:val="005C211D"/>
    <w:rsid w:val="005C5514"/>
    <w:rsid w:val="005C5DDA"/>
    <w:rsid w:val="005C6ECC"/>
    <w:rsid w:val="005C75C7"/>
    <w:rsid w:val="005D2629"/>
    <w:rsid w:val="005D3817"/>
    <w:rsid w:val="005E01EB"/>
    <w:rsid w:val="005E1603"/>
    <w:rsid w:val="005E315E"/>
    <w:rsid w:val="005E75E1"/>
    <w:rsid w:val="005F3417"/>
    <w:rsid w:val="005F65BD"/>
    <w:rsid w:val="005F73CB"/>
    <w:rsid w:val="00601441"/>
    <w:rsid w:val="00603A26"/>
    <w:rsid w:val="00604C89"/>
    <w:rsid w:val="006056F2"/>
    <w:rsid w:val="006060C3"/>
    <w:rsid w:val="00606DC7"/>
    <w:rsid w:val="006135B3"/>
    <w:rsid w:val="006158DB"/>
    <w:rsid w:val="00616B02"/>
    <w:rsid w:val="00620019"/>
    <w:rsid w:val="00622079"/>
    <w:rsid w:val="00623E7A"/>
    <w:rsid w:val="00627A2C"/>
    <w:rsid w:val="006309E7"/>
    <w:rsid w:val="00630A8C"/>
    <w:rsid w:val="006310FD"/>
    <w:rsid w:val="006420A8"/>
    <w:rsid w:val="00642CC5"/>
    <w:rsid w:val="006434DA"/>
    <w:rsid w:val="00645F0C"/>
    <w:rsid w:val="00651861"/>
    <w:rsid w:val="00651D28"/>
    <w:rsid w:val="00653078"/>
    <w:rsid w:val="0065706D"/>
    <w:rsid w:val="006575A8"/>
    <w:rsid w:val="00657A4F"/>
    <w:rsid w:val="00657C92"/>
    <w:rsid w:val="0066385F"/>
    <w:rsid w:val="00665B2A"/>
    <w:rsid w:val="00667B9D"/>
    <w:rsid w:val="00670D21"/>
    <w:rsid w:val="00673E7A"/>
    <w:rsid w:val="006753E2"/>
    <w:rsid w:val="006760AD"/>
    <w:rsid w:val="006765A8"/>
    <w:rsid w:val="006844AE"/>
    <w:rsid w:val="00684D28"/>
    <w:rsid w:val="00687E72"/>
    <w:rsid w:val="006911FE"/>
    <w:rsid w:val="00692DFC"/>
    <w:rsid w:val="006A140E"/>
    <w:rsid w:val="006A69D6"/>
    <w:rsid w:val="006B1CE3"/>
    <w:rsid w:val="006B33DC"/>
    <w:rsid w:val="006B43B5"/>
    <w:rsid w:val="006C24CD"/>
    <w:rsid w:val="006C392B"/>
    <w:rsid w:val="006C5C73"/>
    <w:rsid w:val="006C67A9"/>
    <w:rsid w:val="006C6AC5"/>
    <w:rsid w:val="006D41FE"/>
    <w:rsid w:val="006D43E3"/>
    <w:rsid w:val="006D68C4"/>
    <w:rsid w:val="006E024D"/>
    <w:rsid w:val="006E0262"/>
    <w:rsid w:val="006E389A"/>
    <w:rsid w:val="006E3D8D"/>
    <w:rsid w:val="006E5606"/>
    <w:rsid w:val="006E66A6"/>
    <w:rsid w:val="006E7396"/>
    <w:rsid w:val="006F0E00"/>
    <w:rsid w:val="006F1CBC"/>
    <w:rsid w:val="006F2157"/>
    <w:rsid w:val="006F391D"/>
    <w:rsid w:val="00704E2A"/>
    <w:rsid w:val="00705193"/>
    <w:rsid w:val="007135B7"/>
    <w:rsid w:val="00713F2F"/>
    <w:rsid w:val="00714EDF"/>
    <w:rsid w:val="00722C5E"/>
    <w:rsid w:val="00723A96"/>
    <w:rsid w:val="00723CD2"/>
    <w:rsid w:val="00732575"/>
    <w:rsid w:val="00733947"/>
    <w:rsid w:val="007360C4"/>
    <w:rsid w:val="00737918"/>
    <w:rsid w:val="007406AB"/>
    <w:rsid w:val="00740A8C"/>
    <w:rsid w:val="0074398C"/>
    <w:rsid w:val="00746821"/>
    <w:rsid w:val="007500E1"/>
    <w:rsid w:val="00752C3F"/>
    <w:rsid w:val="007552CA"/>
    <w:rsid w:val="0075672B"/>
    <w:rsid w:val="00757178"/>
    <w:rsid w:val="007571E6"/>
    <w:rsid w:val="00763F73"/>
    <w:rsid w:val="00764726"/>
    <w:rsid w:val="00764955"/>
    <w:rsid w:val="007650AC"/>
    <w:rsid w:val="007664BE"/>
    <w:rsid w:val="00766C95"/>
    <w:rsid w:val="0077115E"/>
    <w:rsid w:val="00772941"/>
    <w:rsid w:val="0077386D"/>
    <w:rsid w:val="00784B96"/>
    <w:rsid w:val="0078508B"/>
    <w:rsid w:val="00787897"/>
    <w:rsid w:val="00796AE8"/>
    <w:rsid w:val="00797BDA"/>
    <w:rsid w:val="007A3D94"/>
    <w:rsid w:val="007B2BED"/>
    <w:rsid w:val="007B3593"/>
    <w:rsid w:val="007B54C3"/>
    <w:rsid w:val="007B66B2"/>
    <w:rsid w:val="007B7012"/>
    <w:rsid w:val="007C27F4"/>
    <w:rsid w:val="007C387F"/>
    <w:rsid w:val="007C3E65"/>
    <w:rsid w:val="007C4E2D"/>
    <w:rsid w:val="007C6E5B"/>
    <w:rsid w:val="007C7732"/>
    <w:rsid w:val="007D068F"/>
    <w:rsid w:val="007D21A1"/>
    <w:rsid w:val="007D2B6F"/>
    <w:rsid w:val="007D3050"/>
    <w:rsid w:val="007D3695"/>
    <w:rsid w:val="007D5130"/>
    <w:rsid w:val="007D51C2"/>
    <w:rsid w:val="007E01CA"/>
    <w:rsid w:val="007E496A"/>
    <w:rsid w:val="007E5FC0"/>
    <w:rsid w:val="007F0B91"/>
    <w:rsid w:val="007F0DE8"/>
    <w:rsid w:val="007F237F"/>
    <w:rsid w:val="007F3B23"/>
    <w:rsid w:val="007F3EA2"/>
    <w:rsid w:val="00800B59"/>
    <w:rsid w:val="008011CE"/>
    <w:rsid w:val="00802C71"/>
    <w:rsid w:val="00802FA3"/>
    <w:rsid w:val="008043DA"/>
    <w:rsid w:val="008046F3"/>
    <w:rsid w:val="00804BBA"/>
    <w:rsid w:val="008069B1"/>
    <w:rsid w:val="00807176"/>
    <w:rsid w:val="008078CD"/>
    <w:rsid w:val="0081594A"/>
    <w:rsid w:val="00822FC1"/>
    <w:rsid w:val="00824275"/>
    <w:rsid w:val="008244F9"/>
    <w:rsid w:val="008255CD"/>
    <w:rsid w:val="0082611C"/>
    <w:rsid w:val="008263C4"/>
    <w:rsid w:val="0082758C"/>
    <w:rsid w:val="00827A60"/>
    <w:rsid w:val="0083179A"/>
    <w:rsid w:val="00837106"/>
    <w:rsid w:val="00837C0D"/>
    <w:rsid w:val="008410C3"/>
    <w:rsid w:val="00845615"/>
    <w:rsid w:val="00845705"/>
    <w:rsid w:val="008500F7"/>
    <w:rsid w:val="0085267D"/>
    <w:rsid w:val="00852DB3"/>
    <w:rsid w:val="00854B28"/>
    <w:rsid w:val="00854BBD"/>
    <w:rsid w:val="0086167C"/>
    <w:rsid w:val="0086199F"/>
    <w:rsid w:val="00861C7D"/>
    <w:rsid w:val="00864D2B"/>
    <w:rsid w:val="00866E1E"/>
    <w:rsid w:val="008678D4"/>
    <w:rsid w:val="0087492C"/>
    <w:rsid w:val="00875B80"/>
    <w:rsid w:val="008761C6"/>
    <w:rsid w:val="00886A5C"/>
    <w:rsid w:val="00887B02"/>
    <w:rsid w:val="00890581"/>
    <w:rsid w:val="0089188D"/>
    <w:rsid w:val="00894A12"/>
    <w:rsid w:val="008A3F63"/>
    <w:rsid w:val="008A4F5D"/>
    <w:rsid w:val="008A5349"/>
    <w:rsid w:val="008A6B6A"/>
    <w:rsid w:val="008B0F7B"/>
    <w:rsid w:val="008B12FC"/>
    <w:rsid w:val="008B4824"/>
    <w:rsid w:val="008B568B"/>
    <w:rsid w:val="008B580D"/>
    <w:rsid w:val="008B5871"/>
    <w:rsid w:val="008C0307"/>
    <w:rsid w:val="008C0A61"/>
    <w:rsid w:val="008C17DB"/>
    <w:rsid w:val="008C1C2D"/>
    <w:rsid w:val="008C21A0"/>
    <w:rsid w:val="008C24CE"/>
    <w:rsid w:val="008C69AE"/>
    <w:rsid w:val="008D2D30"/>
    <w:rsid w:val="008D37AD"/>
    <w:rsid w:val="008D48DF"/>
    <w:rsid w:val="008D4F26"/>
    <w:rsid w:val="008D5C0E"/>
    <w:rsid w:val="008E147C"/>
    <w:rsid w:val="008E1AD8"/>
    <w:rsid w:val="008E40CC"/>
    <w:rsid w:val="008E615A"/>
    <w:rsid w:val="008E7718"/>
    <w:rsid w:val="008F03C5"/>
    <w:rsid w:val="008F0565"/>
    <w:rsid w:val="008F07EA"/>
    <w:rsid w:val="008F5311"/>
    <w:rsid w:val="008F58C3"/>
    <w:rsid w:val="008F69E0"/>
    <w:rsid w:val="009010BD"/>
    <w:rsid w:val="00901578"/>
    <w:rsid w:val="00901776"/>
    <w:rsid w:val="00902F9A"/>
    <w:rsid w:val="00903986"/>
    <w:rsid w:val="00904762"/>
    <w:rsid w:val="00907A62"/>
    <w:rsid w:val="0091237D"/>
    <w:rsid w:val="009143B3"/>
    <w:rsid w:val="009144A8"/>
    <w:rsid w:val="0092208B"/>
    <w:rsid w:val="00922D74"/>
    <w:rsid w:val="00924F46"/>
    <w:rsid w:val="0092575E"/>
    <w:rsid w:val="00937967"/>
    <w:rsid w:val="00940113"/>
    <w:rsid w:val="0094273D"/>
    <w:rsid w:val="00943FAC"/>
    <w:rsid w:val="009460FD"/>
    <w:rsid w:val="00946443"/>
    <w:rsid w:val="0095187A"/>
    <w:rsid w:val="009527B1"/>
    <w:rsid w:val="00953AD8"/>
    <w:rsid w:val="00956006"/>
    <w:rsid w:val="00956693"/>
    <w:rsid w:val="0095750A"/>
    <w:rsid w:val="00961332"/>
    <w:rsid w:val="00961CE6"/>
    <w:rsid w:val="00963E62"/>
    <w:rsid w:val="0096545A"/>
    <w:rsid w:val="00970E5B"/>
    <w:rsid w:val="009716E0"/>
    <w:rsid w:val="00971E6D"/>
    <w:rsid w:val="00975D78"/>
    <w:rsid w:val="009760EF"/>
    <w:rsid w:val="009761B4"/>
    <w:rsid w:val="00980307"/>
    <w:rsid w:val="00985933"/>
    <w:rsid w:val="009865EE"/>
    <w:rsid w:val="0098694E"/>
    <w:rsid w:val="0099232A"/>
    <w:rsid w:val="00996E99"/>
    <w:rsid w:val="009A286B"/>
    <w:rsid w:val="009A7178"/>
    <w:rsid w:val="009A7757"/>
    <w:rsid w:val="009B1A7E"/>
    <w:rsid w:val="009B206F"/>
    <w:rsid w:val="009B2698"/>
    <w:rsid w:val="009B3B1A"/>
    <w:rsid w:val="009C00DA"/>
    <w:rsid w:val="009C1986"/>
    <w:rsid w:val="009C2624"/>
    <w:rsid w:val="009C27EA"/>
    <w:rsid w:val="009C527E"/>
    <w:rsid w:val="009C6BF7"/>
    <w:rsid w:val="009D036F"/>
    <w:rsid w:val="009D5815"/>
    <w:rsid w:val="009D7A55"/>
    <w:rsid w:val="009E1B82"/>
    <w:rsid w:val="009E3998"/>
    <w:rsid w:val="009E53B4"/>
    <w:rsid w:val="009F3932"/>
    <w:rsid w:val="009F3A21"/>
    <w:rsid w:val="009F7E92"/>
    <w:rsid w:val="00A011CF"/>
    <w:rsid w:val="00A01915"/>
    <w:rsid w:val="00A02099"/>
    <w:rsid w:val="00A04164"/>
    <w:rsid w:val="00A051B6"/>
    <w:rsid w:val="00A1295B"/>
    <w:rsid w:val="00A17BC7"/>
    <w:rsid w:val="00A2503B"/>
    <w:rsid w:val="00A25F1B"/>
    <w:rsid w:val="00A30A34"/>
    <w:rsid w:val="00A30BFC"/>
    <w:rsid w:val="00A31F86"/>
    <w:rsid w:val="00A32AF7"/>
    <w:rsid w:val="00A341DE"/>
    <w:rsid w:val="00A353B8"/>
    <w:rsid w:val="00A36619"/>
    <w:rsid w:val="00A40F06"/>
    <w:rsid w:val="00A41E5E"/>
    <w:rsid w:val="00A42DA3"/>
    <w:rsid w:val="00A446D7"/>
    <w:rsid w:val="00A472AF"/>
    <w:rsid w:val="00A50860"/>
    <w:rsid w:val="00A526FB"/>
    <w:rsid w:val="00A5296D"/>
    <w:rsid w:val="00A54D30"/>
    <w:rsid w:val="00A55F6B"/>
    <w:rsid w:val="00A57158"/>
    <w:rsid w:val="00A61EDA"/>
    <w:rsid w:val="00A66528"/>
    <w:rsid w:val="00A66BD6"/>
    <w:rsid w:val="00A67D06"/>
    <w:rsid w:val="00A7075B"/>
    <w:rsid w:val="00A707B2"/>
    <w:rsid w:val="00A7264E"/>
    <w:rsid w:val="00A74E21"/>
    <w:rsid w:val="00A81189"/>
    <w:rsid w:val="00A81C26"/>
    <w:rsid w:val="00A84D55"/>
    <w:rsid w:val="00A850C7"/>
    <w:rsid w:val="00A87215"/>
    <w:rsid w:val="00A90B99"/>
    <w:rsid w:val="00A91BB9"/>
    <w:rsid w:val="00A92DA4"/>
    <w:rsid w:val="00A94B27"/>
    <w:rsid w:val="00A95B7D"/>
    <w:rsid w:val="00A97B16"/>
    <w:rsid w:val="00AA1299"/>
    <w:rsid w:val="00AA148F"/>
    <w:rsid w:val="00AA2BE5"/>
    <w:rsid w:val="00AA6314"/>
    <w:rsid w:val="00AB4303"/>
    <w:rsid w:val="00AB5032"/>
    <w:rsid w:val="00AB5E07"/>
    <w:rsid w:val="00AC4F54"/>
    <w:rsid w:val="00AC694C"/>
    <w:rsid w:val="00AD0A17"/>
    <w:rsid w:val="00AD35D1"/>
    <w:rsid w:val="00AD3BED"/>
    <w:rsid w:val="00AD626F"/>
    <w:rsid w:val="00AE0747"/>
    <w:rsid w:val="00AE2383"/>
    <w:rsid w:val="00AE3C4B"/>
    <w:rsid w:val="00AE40EA"/>
    <w:rsid w:val="00AE55A0"/>
    <w:rsid w:val="00AF3D11"/>
    <w:rsid w:val="00AF430F"/>
    <w:rsid w:val="00AF4401"/>
    <w:rsid w:val="00AF4E56"/>
    <w:rsid w:val="00B02E22"/>
    <w:rsid w:val="00B066FE"/>
    <w:rsid w:val="00B16AE6"/>
    <w:rsid w:val="00B17AE7"/>
    <w:rsid w:val="00B21101"/>
    <w:rsid w:val="00B226EC"/>
    <w:rsid w:val="00B230A3"/>
    <w:rsid w:val="00B234B7"/>
    <w:rsid w:val="00B248F4"/>
    <w:rsid w:val="00B30053"/>
    <w:rsid w:val="00B32F34"/>
    <w:rsid w:val="00B332C7"/>
    <w:rsid w:val="00B33D88"/>
    <w:rsid w:val="00B439EC"/>
    <w:rsid w:val="00B468B6"/>
    <w:rsid w:val="00B47F26"/>
    <w:rsid w:val="00B51C6C"/>
    <w:rsid w:val="00B53E8C"/>
    <w:rsid w:val="00B55868"/>
    <w:rsid w:val="00B60715"/>
    <w:rsid w:val="00B650B9"/>
    <w:rsid w:val="00B66116"/>
    <w:rsid w:val="00B67506"/>
    <w:rsid w:val="00B7036F"/>
    <w:rsid w:val="00B751A8"/>
    <w:rsid w:val="00B75A2E"/>
    <w:rsid w:val="00B76B67"/>
    <w:rsid w:val="00B77E48"/>
    <w:rsid w:val="00B844FB"/>
    <w:rsid w:val="00B84C6C"/>
    <w:rsid w:val="00B85930"/>
    <w:rsid w:val="00B87C24"/>
    <w:rsid w:val="00B9169E"/>
    <w:rsid w:val="00B92054"/>
    <w:rsid w:val="00B92B29"/>
    <w:rsid w:val="00B93040"/>
    <w:rsid w:val="00B9663B"/>
    <w:rsid w:val="00BA0C7B"/>
    <w:rsid w:val="00BA11AC"/>
    <w:rsid w:val="00BA1BAF"/>
    <w:rsid w:val="00BA1C39"/>
    <w:rsid w:val="00BA285D"/>
    <w:rsid w:val="00BA37C4"/>
    <w:rsid w:val="00BA3A47"/>
    <w:rsid w:val="00BA70A1"/>
    <w:rsid w:val="00BA7CCB"/>
    <w:rsid w:val="00BB0223"/>
    <w:rsid w:val="00BB04E5"/>
    <w:rsid w:val="00BB1245"/>
    <w:rsid w:val="00BB36C9"/>
    <w:rsid w:val="00BB3AF2"/>
    <w:rsid w:val="00BB6C73"/>
    <w:rsid w:val="00BB77F2"/>
    <w:rsid w:val="00BB7A65"/>
    <w:rsid w:val="00BB7B6E"/>
    <w:rsid w:val="00BC6E7B"/>
    <w:rsid w:val="00BC7310"/>
    <w:rsid w:val="00BC794A"/>
    <w:rsid w:val="00BD0362"/>
    <w:rsid w:val="00BD471D"/>
    <w:rsid w:val="00BD5A66"/>
    <w:rsid w:val="00BE0C3D"/>
    <w:rsid w:val="00BE2E91"/>
    <w:rsid w:val="00BE4334"/>
    <w:rsid w:val="00BF08B1"/>
    <w:rsid w:val="00BF1BCE"/>
    <w:rsid w:val="00BF23CB"/>
    <w:rsid w:val="00BF32DE"/>
    <w:rsid w:val="00BF546D"/>
    <w:rsid w:val="00BF6018"/>
    <w:rsid w:val="00BF6FA6"/>
    <w:rsid w:val="00C01EF6"/>
    <w:rsid w:val="00C05826"/>
    <w:rsid w:val="00C07316"/>
    <w:rsid w:val="00C12078"/>
    <w:rsid w:val="00C14C94"/>
    <w:rsid w:val="00C205D6"/>
    <w:rsid w:val="00C20CDF"/>
    <w:rsid w:val="00C20FB5"/>
    <w:rsid w:val="00C23090"/>
    <w:rsid w:val="00C2483F"/>
    <w:rsid w:val="00C25B20"/>
    <w:rsid w:val="00C3001B"/>
    <w:rsid w:val="00C3084A"/>
    <w:rsid w:val="00C31E38"/>
    <w:rsid w:val="00C379ED"/>
    <w:rsid w:val="00C41493"/>
    <w:rsid w:val="00C44F0E"/>
    <w:rsid w:val="00C4612E"/>
    <w:rsid w:val="00C4631A"/>
    <w:rsid w:val="00C52208"/>
    <w:rsid w:val="00C53278"/>
    <w:rsid w:val="00C547A2"/>
    <w:rsid w:val="00C569B6"/>
    <w:rsid w:val="00C61CC8"/>
    <w:rsid w:val="00C628A3"/>
    <w:rsid w:val="00C640E3"/>
    <w:rsid w:val="00C66357"/>
    <w:rsid w:val="00C71388"/>
    <w:rsid w:val="00C73079"/>
    <w:rsid w:val="00C73A6F"/>
    <w:rsid w:val="00C74791"/>
    <w:rsid w:val="00C821FA"/>
    <w:rsid w:val="00C84EE9"/>
    <w:rsid w:val="00C87806"/>
    <w:rsid w:val="00C90050"/>
    <w:rsid w:val="00C90D89"/>
    <w:rsid w:val="00C93149"/>
    <w:rsid w:val="00C93BE6"/>
    <w:rsid w:val="00C93F96"/>
    <w:rsid w:val="00C957F5"/>
    <w:rsid w:val="00C9628F"/>
    <w:rsid w:val="00C96519"/>
    <w:rsid w:val="00C967F7"/>
    <w:rsid w:val="00C96C3F"/>
    <w:rsid w:val="00C97740"/>
    <w:rsid w:val="00C97979"/>
    <w:rsid w:val="00CA3132"/>
    <w:rsid w:val="00CA3DEE"/>
    <w:rsid w:val="00CA7D23"/>
    <w:rsid w:val="00CB1192"/>
    <w:rsid w:val="00CB44B9"/>
    <w:rsid w:val="00CB511F"/>
    <w:rsid w:val="00CB5E28"/>
    <w:rsid w:val="00CC07DB"/>
    <w:rsid w:val="00CC0A31"/>
    <w:rsid w:val="00CC27EA"/>
    <w:rsid w:val="00CC3015"/>
    <w:rsid w:val="00CC3E62"/>
    <w:rsid w:val="00CC428E"/>
    <w:rsid w:val="00CD1702"/>
    <w:rsid w:val="00CD3181"/>
    <w:rsid w:val="00CD3755"/>
    <w:rsid w:val="00CD6188"/>
    <w:rsid w:val="00CD7C68"/>
    <w:rsid w:val="00CE181C"/>
    <w:rsid w:val="00CE36A7"/>
    <w:rsid w:val="00CE6B0D"/>
    <w:rsid w:val="00CF4C97"/>
    <w:rsid w:val="00CF5120"/>
    <w:rsid w:val="00D010EE"/>
    <w:rsid w:val="00D022D6"/>
    <w:rsid w:val="00D032E6"/>
    <w:rsid w:val="00D04676"/>
    <w:rsid w:val="00D12ABA"/>
    <w:rsid w:val="00D142A0"/>
    <w:rsid w:val="00D147D1"/>
    <w:rsid w:val="00D14DEA"/>
    <w:rsid w:val="00D16E30"/>
    <w:rsid w:val="00D171D6"/>
    <w:rsid w:val="00D20262"/>
    <w:rsid w:val="00D251A1"/>
    <w:rsid w:val="00D30AED"/>
    <w:rsid w:val="00D31241"/>
    <w:rsid w:val="00D336CD"/>
    <w:rsid w:val="00D338A9"/>
    <w:rsid w:val="00D359B7"/>
    <w:rsid w:val="00D3677E"/>
    <w:rsid w:val="00D36E40"/>
    <w:rsid w:val="00D36F63"/>
    <w:rsid w:val="00D4250C"/>
    <w:rsid w:val="00D43C0C"/>
    <w:rsid w:val="00D449B3"/>
    <w:rsid w:val="00D52C87"/>
    <w:rsid w:val="00D55804"/>
    <w:rsid w:val="00D56DC3"/>
    <w:rsid w:val="00D62CB8"/>
    <w:rsid w:val="00D64825"/>
    <w:rsid w:val="00D67255"/>
    <w:rsid w:val="00D72E35"/>
    <w:rsid w:val="00D748DA"/>
    <w:rsid w:val="00D75542"/>
    <w:rsid w:val="00D809EA"/>
    <w:rsid w:val="00D81ADB"/>
    <w:rsid w:val="00D81B1C"/>
    <w:rsid w:val="00D82428"/>
    <w:rsid w:val="00D84A09"/>
    <w:rsid w:val="00D863E4"/>
    <w:rsid w:val="00D95019"/>
    <w:rsid w:val="00D955EF"/>
    <w:rsid w:val="00DA2F55"/>
    <w:rsid w:val="00DA4F3C"/>
    <w:rsid w:val="00DB16C5"/>
    <w:rsid w:val="00DB1966"/>
    <w:rsid w:val="00DB27C3"/>
    <w:rsid w:val="00DB2D40"/>
    <w:rsid w:val="00DB3CE7"/>
    <w:rsid w:val="00DB5966"/>
    <w:rsid w:val="00DC2687"/>
    <w:rsid w:val="00DC2AAD"/>
    <w:rsid w:val="00DD100D"/>
    <w:rsid w:val="00DD2242"/>
    <w:rsid w:val="00DD2D85"/>
    <w:rsid w:val="00DD4DB7"/>
    <w:rsid w:val="00DD63E2"/>
    <w:rsid w:val="00DD6FA0"/>
    <w:rsid w:val="00DE0823"/>
    <w:rsid w:val="00DE21E0"/>
    <w:rsid w:val="00DE6B73"/>
    <w:rsid w:val="00DF4BA7"/>
    <w:rsid w:val="00DF7165"/>
    <w:rsid w:val="00E022D0"/>
    <w:rsid w:val="00E06544"/>
    <w:rsid w:val="00E10348"/>
    <w:rsid w:val="00E13D6B"/>
    <w:rsid w:val="00E21368"/>
    <w:rsid w:val="00E2428F"/>
    <w:rsid w:val="00E2473E"/>
    <w:rsid w:val="00E24FBE"/>
    <w:rsid w:val="00E25412"/>
    <w:rsid w:val="00E26F5E"/>
    <w:rsid w:val="00E27D66"/>
    <w:rsid w:val="00E3089B"/>
    <w:rsid w:val="00E332F4"/>
    <w:rsid w:val="00E33957"/>
    <w:rsid w:val="00E3414D"/>
    <w:rsid w:val="00E3504F"/>
    <w:rsid w:val="00E40E0F"/>
    <w:rsid w:val="00E42CB8"/>
    <w:rsid w:val="00E44D68"/>
    <w:rsid w:val="00E501D6"/>
    <w:rsid w:val="00E60FC8"/>
    <w:rsid w:val="00E65703"/>
    <w:rsid w:val="00E67625"/>
    <w:rsid w:val="00E72FB1"/>
    <w:rsid w:val="00E73D0C"/>
    <w:rsid w:val="00E74A04"/>
    <w:rsid w:val="00E750B1"/>
    <w:rsid w:val="00E77ABE"/>
    <w:rsid w:val="00E83515"/>
    <w:rsid w:val="00E871FB"/>
    <w:rsid w:val="00E914E5"/>
    <w:rsid w:val="00E94141"/>
    <w:rsid w:val="00E95C90"/>
    <w:rsid w:val="00E96541"/>
    <w:rsid w:val="00E9730F"/>
    <w:rsid w:val="00EA18F9"/>
    <w:rsid w:val="00EA1D4D"/>
    <w:rsid w:val="00EA2410"/>
    <w:rsid w:val="00EA3B93"/>
    <w:rsid w:val="00EA50DD"/>
    <w:rsid w:val="00EA60E1"/>
    <w:rsid w:val="00EA6395"/>
    <w:rsid w:val="00EB17CC"/>
    <w:rsid w:val="00EB7A7D"/>
    <w:rsid w:val="00EB7D8B"/>
    <w:rsid w:val="00EC3459"/>
    <w:rsid w:val="00EC4B7B"/>
    <w:rsid w:val="00EC4CDF"/>
    <w:rsid w:val="00EC51AF"/>
    <w:rsid w:val="00ED06C9"/>
    <w:rsid w:val="00ED09A5"/>
    <w:rsid w:val="00ED3693"/>
    <w:rsid w:val="00ED439E"/>
    <w:rsid w:val="00ED5DD9"/>
    <w:rsid w:val="00EE0E58"/>
    <w:rsid w:val="00EE1F0E"/>
    <w:rsid w:val="00EE37BB"/>
    <w:rsid w:val="00EE552B"/>
    <w:rsid w:val="00EE70BC"/>
    <w:rsid w:val="00EF0973"/>
    <w:rsid w:val="00EF2EBA"/>
    <w:rsid w:val="00EF414A"/>
    <w:rsid w:val="00EF4734"/>
    <w:rsid w:val="00EF4850"/>
    <w:rsid w:val="00EF5306"/>
    <w:rsid w:val="00EF6019"/>
    <w:rsid w:val="00EF6408"/>
    <w:rsid w:val="00EF79B1"/>
    <w:rsid w:val="00F00BA2"/>
    <w:rsid w:val="00F11733"/>
    <w:rsid w:val="00F11D56"/>
    <w:rsid w:val="00F15469"/>
    <w:rsid w:val="00F16AF7"/>
    <w:rsid w:val="00F203C5"/>
    <w:rsid w:val="00F21578"/>
    <w:rsid w:val="00F25611"/>
    <w:rsid w:val="00F26059"/>
    <w:rsid w:val="00F305C5"/>
    <w:rsid w:val="00F32B83"/>
    <w:rsid w:val="00F32E79"/>
    <w:rsid w:val="00F367F5"/>
    <w:rsid w:val="00F37737"/>
    <w:rsid w:val="00F42BC8"/>
    <w:rsid w:val="00F522DD"/>
    <w:rsid w:val="00F54A7E"/>
    <w:rsid w:val="00F5504E"/>
    <w:rsid w:val="00F5689A"/>
    <w:rsid w:val="00F56E4A"/>
    <w:rsid w:val="00F60B7C"/>
    <w:rsid w:val="00F60ED3"/>
    <w:rsid w:val="00F61652"/>
    <w:rsid w:val="00F62903"/>
    <w:rsid w:val="00F6443F"/>
    <w:rsid w:val="00F6638A"/>
    <w:rsid w:val="00F67E15"/>
    <w:rsid w:val="00F738AC"/>
    <w:rsid w:val="00F77F20"/>
    <w:rsid w:val="00F80D02"/>
    <w:rsid w:val="00F81831"/>
    <w:rsid w:val="00F81A40"/>
    <w:rsid w:val="00F83732"/>
    <w:rsid w:val="00F84D7E"/>
    <w:rsid w:val="00F85347"/>
    <w:rsid w:val="00F85EE1"/>
    <w:rsid w:val="00F912D6"/>
    <w:rsid w:val="00F974DF"/>
    <w:rsid w:val="00F979C6"/>
    <w:rsid w:val="00F97D4A"/>
    <w:rsid w:val="00FA7D77"/>
    <w:rsid w:val="00FB5470"/>
    <w:rsid w:val="00FB59CC"/>
    <w:rsid w:val="00FC5288"/>
    <w:rsid w:val="00FC7DDB"/>
    <w:rsid w:val="00FC7EBF"/>
    <w:rsid w:val="00FD1DE6"/>
    <w:rsid w:val="00FD27C5"/>
    <w:rsid w:val="00FD43CD"/>
    <w:rsid w:val="00FD6684"/>
    <w:rsid w:val="00FD6807"/>
    <w:rsid w:val="00FD7FB6"/>
    <w:rsid w:val="00FE256A"/>
    <w:rsid w:val="00FE5886"/>
    <w:rsid w:val="00FF08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56B2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011"/>
    <w:pPr>
      <w:jc w:val="both"/>
    </w:pPr>
    <w:rPr>
      <w:rFonts w:ascii="Verdana" w:hAnsi="Verdana"/>
      <w:szCs w:val="24"/>
      <w:lang w:eastAsia="en-GB"/>
    </w:rPr>
  </w:style>
  <w:style w:type="paragraph" w:styleId="Heading1">
    <w:name w:val="heading 1"/>
    <w:basedOn w:val="Normal"/>
    <w:next w:val="Normal"/>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5470"/>
    <w:pPr>
      <w:tabs>
        <w:tab w:val="center" w:pos="4153"/>
        <w:tab w:val="right" w:pos="8306"/>
      </w:tabs>
      <w:jc w:val="left"/>
    </w:pPr>
    <w:rPr>
      <w:szCs w:val="20"/>
    </w:rPr>
  </w:style>
  <w:style w:type="paragraph" w:styleId="Footer">
    <w:name w:val="footer"/>
    <w:basedOn w:val="Normal"/>
    <w:rsid w:val="00FB5470"/>
    <w:pPr>
      <w:jc w:val="center"/>
    </w:pPr>
    <w:rPr>
      <w:szCs w:val="20"/>
    </w:rPr>
  </w:style>
  <w:style w:type="character" w:styleId="PageNumber">
    <w:name w:val="page number"/>
    <w:rsid w:val="00FB5470"/>
    <w:rPr>
      <w:rFonts w:ascii="Verdana" w:hAnsi="Verdana"/>
      <w:sz w:val="18"/>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rsid w:val="00FB5470"/>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rsid w:val="00FB5470"/>
    <w:pPr>
      <w:keepNext/>
      <w:jc w:val="left"/>
    </w:pPr>
    <w:rPr>
      <w:color w:val="808080"/>
      <w:sz w:val="28"/>
    </w:rPr>
  </w:style>
  <w:style w:type="paragraph" w:customStyle="1" w:styleId="PCFHeaderCase">
    <w:name w:val="PCF_Header_Case"/>
    <w:basedOn w:val="Normal"/>
    <w:next w:val="Normal"/>
    <w:link w:val="PCFHeaderCaseChar"/>
    <w:rsid w:val="00FB5470"/>
    <w:pPr>
      <w:keepNext/>
      <w:spacing w:before="120"/>
      <w:contextualSpacing/>
      <w:jc w:val="left"/>
    </w:pPr>
    <w:rPr>
      <w:b/>
      <w:color w:val="808080"/>
      <w:lang w:eastAsia="fr-FR"/>
    </w:rPr>
  </w:style>
  <w:style w:type="character" w:styleId="FootnoteReference">
    <w:name w:val="footnote reference"/>
    <w:rsid w:val="00FB5470"/>
    <w:rPr>
      <w:rFonts w:ascii="Verdana" w:hAnsi="Verdana"/>
      <w:sz w:val="20"/>
      <w:vertAlign w:val="superscript"/>
    </w:rPr>
  </w:style>
  <w:style w:type="paragraph" w:styleId="FootnoteText">
    <w:name w:val="footnote text"/>
    <w:basedOn w:val="Normal"/>
    <w:link w:val="FootnoteTextChar"/>
    <w:rsid w:val="00FB5470"/>
    <w:pPr>
      <w:jc w:val="left"/>
    </w:pPr>
    <w:rPr>
      <w:sz w:val="16"/>
      <w:szCs w:val="20"/>
    </w:rPr>
  </w:style>
  <w:style w:type="character" w:styleId="Hyperlink">
    <w:name w:val="Hyperlink"/>
    <w:rsid w:val="00FB5470"/>
    <w:rPr>
      <w:rFonts w:ascii="Verdana" w:hAnsi="Verdana"/>
      <w:color w:val="0072BC"/>
      <w:sz w:val="20"/>
      <w:u w:val="single"/>
    </w:rPr>
  </w:style>
  <w:style w:type="paragraph" w:customStyle="1" w:styleId="PCFPara">
    <w:name w:val="PCF_Para"/>
    <w:basedOn w:val="Normal"/>
    <w:link w:val="PCFParaChar"/>
    <w:rsid w:val="00FB5470"/>
  </w:style>
  <w:style w:type="paragraph" w:customStyle="1" w:styleId="PCFHeaderCaseGrey">
    <w:name w:val="PCF_Header_Case_Grey"/>
    <w:basedOn w:val="PCFHeaderCase"/>
    <w:link w:val="PCFHeaderCaseGreyChar"/>
    <w:rsid w:val="00B066FE"/>
    <w:pPr>
      <w:shd w:val="clear" w:color="auto" w:fill="F3F3F3"/>
    </w:pPr>
  </w:style>
  <w:style w:type="paragraph" w:customStyle="1" w:styleId="PCFHeaderDateGrey">
    <w:name w:val="PCF_Header_Date_Grey"/>
    <w:basedOn w:val="PCFHeaderDate"/>
    <w:link w:val="PCFHeaderDateGreyChar"/>
    <w:rsid w:val="00B066FE"/>
    <w:pPr>
      <w:shd w:val="clear" w:color="auto" w:fill="F3F3F3"/>
    </w:pPr>
  </w:style>
  <w:style w:type="paragraph" w:customStyle="1" w:styleId="PCFHeaderDate">
    <w:name w:val="PCF_Header_Date"/>
    <w:basedOn w:val="PCFHeaderCase"/>
    <w:next w:val="Normal"/>
    <w:link w:val="PCFHeaderDateChar"/>
    <w:rsid w:val="00B066FE"/>
    <w:pPr>
      <w:spacing w:before="60"/>
      <w:contextualSpacing w:val="0"/>
    </w:pPr>
    <w:rPr>
      <w:b w:val="0"/>
      <w:sz w:val="18"/>
    </w:rPr>
  </w:style>
  <w:style w:type="paragraph" w:customStyle="1" w:styleId="PCFParaGrey">
    <w:name w:val="PCF_Para_Grey"/>
    <w:basedOn w:val="PCFPara"/>
    <w:link w:val="PCFParaGreyChar"/>
    <w:rsid w:val="00B066FE"/>
    <w:pPr>
      <w:shd w:val="clear" w:color="auto" w:fill="F3F3F3"/>
    </w:pPr>
    <w:rPr>
      <w:lang w:eastAsia="fr-FR"/>
    </w:rPr>
  </w:style>
  <w:style w:type="paragraph" w:customStyle="1" w:styleId="PCFViolationGrey">
    <w:name w:val="PCF_Violation_Grey"/>
    <w:basedOn w:val="PCFViolation"/>
    <w:link w:val="PCFViolationGreyChar"/>
    <w:rsid w:val="00B066FE"/>
    <w:pPr>
      <w:shd w:val="clear" w:color="auto" w:fill="F3F3F3"/>
    </w:pPr>
  </w:style>
  <w:style w:type="paragraph" w:customStyle="1" w:styleId="PCFViolation">
    <w:name w:val="PCF_Violation"/>
    <w:basedOn w:val="Normal"/>
    <w:next w:val="PCFHeaderCase"/>
    <w:link w:val="PCFViolationChar"/>
    <w:rsid w:val="00FB5470"/>
    <w:rPr>
      <w:color w:val="0072BC"/>
      <w:lang w:eastAsia="fr-FR"/>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styleId="EndnoteReference">
    <w:name w:val="endnote reference"/>
    <w:rsid w:val="00FB5470"/>
    <w:rPr>
      <w:rFonts w:ascii="Verdana" w:hAnsi="Verdana"/>
      <w:sz w:val="20"/>
      <w:vertAlign w:val="superscript"/>
    </w:rPr>
  </w:style>
  <w:style w:type="paragraph" w:styleId="EndnoteText">
    <w:name w:val="endnote text"/>
    <w:basedOn w:val="Normal"/>
    <w:rsid w:val="00FB5470"/>
    <w:pPr>
      <w:jc w:val="left"/>
    </w:pPr>
    <w:rPr>
      <w:szCs w:val="20"/>
    </w:rPr>
  </w:style>
  <w:style w:type="paragraph" w:customStyle="1" w:styleId="PCFCountrytitle">
    <w:name w:val="PCF_Country_title"/>
    <w:basedOn w:val="Normal"/>
    <w:next w:val="Normal"/>
    <w:rsid w:val="00FB5470"/>
    <w:pPr>
      <w:pBdr>
        <w:bottom w:val="single" w:sz="24" w:space="1" w:color="EAEAEA"/>
      </w:pBdr>
      <w:spacing w:after="120"/>
      <w:contextualSpacing/>
    </w:pPr>
    <w:rPr>
      <w:color w:val="0072BC"/>
      <w:sz w:val="48"/>
    </w:rPr>
  </w:style>
  <w:style w:type="paragraph" w:customStyle="1" w:styleId="PCFTextsmall">
    <w:name w:val="PCF_Text_small"/>
    <w:basedOn w:val="Normal"/>
    <w:rsid w:val="00FB5470"/>
    <w:rPr>
      <w:sz w:val="16"/>
      <w:lang w:eastAsia="fr-FR"/>
    </w:rPr>
  </w:style>
  <w:style w:type="paragraph" w:customStyle="1" w:styleId="PCFBoxGreyHeader1">
    <w:name w:val="PCF_Box_Grey_Header1"/>
    <w:basedOn w:val="Normal"/>
    <w:next w:val="Normal"/>
    <w:rsid w:val="00FB5470"/>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rsid w:val="00FB5470"/>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rsid w:val="00FB5470"/>
    <w:pPr>
      <w:keepNext/>
      <w:jc w:val="center"/>
    </w:pPr>
    <w:rPr>
      <w:b/>
      <w:color w:val="808080"/>
      <w:lang w:eastAsia="fr-FR"/>
    </w:rPr>
  </w:style>
  <w:style w:type="character" w:styleId="FollowedHyperlink">
    <w:name w:val="FollowedHyperlink"/>
    <w:uiPriority w:val="99"/>
    <w:rsid w:val="00FB5470"/>
    <w:rPr>
      <w:rFonts w:ascii="Verdana" w:hAnsi="Verdana"/>
      <w:color w:val="800080"/>
      <w:sz w:val="20"/>
      <w:u w:val="single"/>
    </w:rPr>
  </w:style>
  <w:style w:type="paragraph" w:customStyle="1" w:styleId="PCFBoxGreyText">
    <w:name w:val="PCF_Box_Grey_Text"/>
    <w:basedOn w:val="Normal"/>
    <w:rsid w:val="00FB5470"/>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rsid w:val="00FB5470"/>
    <w:pPr>
      <w:keepNext/>
      <w:pBdr>
        <w:bottom w:val="single" w:sz="8" w:space="1" w:color="999999"/>
      </w:pBdr>
      <w:spacing w:before="360" w:after="360"/>
    </w:pPr>
  </w:style>
  <w:style w:type="paragraph" w:styleId="BodyText">
    <w:name w:val="Body Text"/>
    <w:basedOn w:val="Normal"/>
    <w:rsid w:val="0077386D"/>
    <w:pPr>
      <w:spacing w:after="120"/>
    </w:pPr>
  </w:style>
  <w:style w:type="paragraph" w:customStyle="1" w:styleId="PCFUpdate">
    <w:name w:val="PCF_Update"/>
    <w:basedOn w:val="Normal"/>
    <w:next w:val="PCFCountrytitle"/>
    <w:rsid w:val="00FB5470"/>
    <w:pPr>
      <w:jc w:val="right"/>
    </w:pPr>
    <w:rPr>
      <w:color w:val="EC7F12"/>
      <w:sz w:val="18"/>
    </w:rPr>
  </w:style>
  <w:style w:type="paragraph" w:styleId="ListBullet">
    <w:name w:val="List Bullet"/>
    <w:basedOn w:val="Normal"/>
    <w:rsid w:val="0020340D"/>
    <w:pPr>
      <w:numPr>
        <w:numId w:val="3"/>
      </w:numPr>
    </w:pPr>
  </w:style>
  <w:style w:type="paragraph" w:styleId="BalloonText">
    <w:name w:val="Balloon Text"/>
    <w:basedOn w:val="Normal"/>
    <w:link w:val="BalloonTextChar"/>
    <w:rsid w:val="00845705"/>
    <w:rPr>
      <w:rFonts w:ascii="Tahoma" w:hAnsi="Tahoma" w:cs="Tahoma"/>
      <w:sz w:val="16"/>
      <w:szCs w:val="16"/>
    </w:rPr>
  </w:style>
  <w:style w:type="character" w:customStyle="1" w:styleId="BalloonTextChar">
    <w:name w:val="Balloon Text Char"/>
    <w:link w:val="BalloonText"/>
    <w:rsid w:val="00845705"/>
    <w:rPr>
      <w:rFonts w:ascii="Tahoma" w:hAnsi="Tahoma" w:cs="Tahoma"/>
      <w:sz w:val="16"/>
      <w:szCs w:val="16"/>
      <w:lang w:val="ro-RO" w:eastAsia="en-GB"/>
    </w:rPr>
  </w:style>
  <w:style w:type="character" w:styleId="Emphasis">
    <w:name w:val="Emphasis"/>
    <w:uiPriority w:val="20"/>
    <w:qFormat/>
    <w:rsid w:val="00371212"/>
    <w:rPr>
      <w:i/>
      <w:i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link w:val="CommentText"/>
    <w:rsid w:val="00DA2F55"/>
    <w:rPr>
      <w:rFonts w:ascii="Verdana" w:hAnsi="Verdana"/>
      <w:lang w:val="ro-RO" w:eastAsia="en-GB"/>
    </w:rPr>
  </w:style>
  <w:style w:type="paragraph" w:styleId="CommentSubject">
    <w:name w:val="annotation subject"/>
    <w:basedOn w:val="CommentText"/>
    <w:next w:val="CommentText"/>
    <w:link w:val="CommentSubjectChar"/>
    <w:rsid w:val="00DA2F55"/>
    <w:rPr>
      <w:b/>
      <w:bCs/>
    </w:rPr>
  </w:style>
  <w:style w:type="character" w:customStyle="1" w:styleId="CommentSubjectChar">
    <w:name w:val="Comment Subject Char"/>
    <w:link w:val="CommentSubject"/>
    <w:rsid w:val="00DA2F55"/>
    <w:rPr>
      <w:rFonts w:ascii="Verdana" w:hAnsi="Verdana"/>
      <w:b/>
      <w:bCs/>
      <w:lang w:val="ro-RO" w:eastAsia="en-GB"/>
    </w:rPr>
  </w:style>
  <w:style w:type="character" w:customStyle="1" w:styleId="sb8d990e2">
    <w:name w:val="sb8d990e2"/>
    <w:rsid w:val="004D5C04"/>
  </w:style>
  <w:style w:type="character" w:customStyle="1" w:styleId="sfbbfee58">
    <w:name w:val="sfbbfee58"/>
    <w:rsid w:val="00A051B6"/>
  </w:style>
  <w:style w:type="character" w:customStyle="1" w:styleId="s1a844bc0">
    <w:name w:val="s1a844bc0"/>
    <w:rsid w:val="007F3B23"/>
  </w:style>
  <w:style w:type="paragraph" w:customStyle="1" w:styleId="ITDHeaderDate">
    <w:name w:val="ITD_Header_Date"/>
    <w:basedOn w:val="Normal"/>
    <w:next w:val="Normal"/>
    <w:link w:val="ITDHeaderDateChar"/>
    <w:rsid w:val="001D5DE2"/>
    <w:pPr>
      <w:jc w:val="right"/>
    </w:pPr>
    <w:rPr>
      <w:sz w:val="18"/>
      <w:lang w:eastAsia="fr-FR"/>
    </w:rPr>
  </w:style>
  <w:style w:type="character" w:customStyle="1" w:styleId="ITDHeaderDateChar">
    <w:name w:val="ITD_Header_Date Char"/>
    <w:link w:val="ITDHeaderDate"/>
    <w:rsid w:val="001D5DE2"/>
    <w:rPr>
      <w:rFonts w:ascii="Verdana" w:hAnsi="Verdana"/>
      <w:sz w:val="18"/>
      <w:szCs w:val="24"/>
      <w:lang w:val="ro-RO"/>
    </w:rPr>
  </w:style>
  <w:style w:type="character" w:customStyle="1" w:styleId="PCFHeaderCaseChar">
    <w:name w:val="PCF_Header_Case Char"/>
    <w:link w:val="PCFHeaderCase"/>
    <w:rsid w:val="00AE55A0"/>
    <w:rPr>
      <w:rFonts w:ascii="Verdana" w:hAnsi="Verdana"/>
      <w:b/>
      <w:color w:val="808080"/>
      <w:szCs w:val="24"/>
    </w:rPr>
  </w:style>
  <w:style w:type="character" w:customStyle="1" w:styleId="PCFHeaderDateChar">
    <w:name w:val="PCF_Header_Date Char"/>
    <w:link w:val="PCFHeaderDate"/>
    <w:rsid w:val="00AE55A0"/>
    <w:rPr>
      <w:rFonts w:ascii="Verdana" w:hAnsi="Verdana"/>
      <w:color w:val="808080"/>
      <w:sz w:val="18"/>
      <w:szCs w:val="24"/>
    </w:rPr>
  </w:style>
  <w:style w:type="character" w:customStyle="1" w:styleId="PCFParaChar">
    <w:name w:val="PCF_Para Char"/>
    <w:link w:val="PCFPara"/>
    <w:rsid w:val="00AE55A0"/>
    <w:rPr>
      <w:rFonts w:ascii="Verdana" w:hAnsi="Verdana"/>
      <w:szCs w:val="24"/>
      <w:lang w:eastAsia="en-GB"/>
    </w:rPr>
  </w:style>
  <w:style w:type="character" w:customStyle="1" w:styleId="PCFViolationChar">
    <w:name w:val="PCF_Violation Char"/>
    <w:link w:val="PCFViolation"/>
    <w:rsid w:val="00AE55A0"/>
    <w:rPr>
      <w:rFonts w:ascii="Verdana" w:hAnsi="Verdana"/>
      <w:color w:val="0072BC"/>
      <w:szCs w:val="24"/>
    </w:rPr>
  </w:style>
  <w:style w:type="character" w:customStyle="1" w:styleId="FootnoteTextChar">
    <w:name w:val="Footnote Text Char"/>
    <w:link w:val="FootnoteText"/>
    <w:rsid w:val="00AE55A0"/>
    <w:rPr>
      <w:rFonts w:ascii="Verdana" w:hAnsi="Verdana"/>
      <w:sz w:val="16"/>
      <w:lang w:eastAsia="en-GB"/>
    </w:rPr>
  </w:style>
  <w:style w:type="character" w:customStyle="1" w:styleId="PCFParaGreyChar">
    <w:name w:val="PCF_Para_Grey Char"/>
    <w:link w:val="PCFParaGrey"/>
    <w:rsid w:val="00B93040"/>
    <w:rPr>
      <w:rFonts w:ascii="Verdana" w:hAnsi="Verdana"/>
      <w:szCs w:val="24"/>
      <w:shd w:val="clear" w:color="auto" w:fill="F3F3F3"/>
    </w:rPr>
  </w:style>
  <w:style w:type="character" w:customStyle="1" w:styleId="PCFHeaderCaseGreyChar">
    <w:name w:val="PCF_Header_Case_Grey Char"/>
    <w:link w:val="PCFHeaderCaseGrey"/>
    <w:rsid w:val="00B93040"/>
    <w:rPr>
      <w:rFonts w:ascii="Verdana" w:hAnsi="Verdana"/>
      <w:b/>
      <w:color w:val="808080"/>
      <w:szCs w:val="24"/>
      <w:shd w:val="clear" w:color="auto" w:fill="F3F3F3"/>
    </w:rPr>
  </w:style>
  <w:style w:type="paragraph" w:customStyle="1" w:styleId="PCFHighlightedCaseIntro">
    <w:name w:val="PCF_Highlighted_Case_Intro"/>
    <w:basedOn w:val="PCFHeaderCaseGrey"/>
    <w:next w:val="PCFHeaderCaseGrey"/>
    <w:link w:val="PCFHighlightedCaseIntroChar"/>
    <w:rsid w:val="00462AAE"/>
    <w:pPr>
      <w:jc w:val="both"/>
    </w:pPr>
    <w:rPr>
      <w:color w:val="5F5F5F"/>
    </w:rPr>
  </w:style>
  <w:style w:type="character" w:customStyle="1" w:styleId="PCFHighlightedCaseIntroChar">
    <w:name w:val="PCF_Highlighted_Case_Intro Char"/>
    <w:link w:val="PCFHighlightedCaseIntro"/>
    <w:rsid w:val="00462AAE"/>
    <w:rPr>
      <w:rFonts w:ascii="Verdana" w:hAnsi="Verdana"/>
      <w:b/>
      <w:color w:val="5F5F5F"/>
      <w:szCs w:val="24"/>
      <w:shd w:val="clear" w:color="auto" w:fill="F3F3F3"/>
    </w:rPr>
  </w:style>
  <w:style w:type="character" w:customStyle="1" w:styleId="PCFViolationGreyChar">
    <w:name w:val="PCF_Violation_Grey Char"/>
    <w:link w:val="PCFViolationGrey"/>
    <w:rsid w:val="001F5561"/>
    <w:rPr>
      <w:rFonts w:ascii="Verdana" w:hAnsi="Verdana"/>
      <w:color w:val="0072BC"/>
      <w:szCs w:val="24"/>
      <w:shd w:val="clear" w:color="auto" w:fill="F3F3F3"/>
      <w:lang w:val="ro-RO"/>
    </w:rPr>
  </w:style>
  <w:style w:type="character" w:customStyle="1" w:styleId="PCFHeaderDateGreyChar">
    <w:name w:val="PCF_Header_Date_Grey Char"/>
    <w:link w:val="PCFHeaderDateGrey"/>
    <w:rsid w:val="001F5561"/>
    <w:rPr>
      <w:rFonts w:ascii="Verdana" w:hAnsi="Verdana"/>
      <w:color w:val="808080"/>
      <w:sz w:val="18"/>
      <w:szCs w:val="24"/>
      <w:shd w:val="clear" w:color="auto" w:fill="F3F3F3"/>
    </w:rPr>
  </w:style>
  <w:style w:type="paragraph" w:styleId="NormalWeb">
    <w:name w:val="Normal (Web)"/>
    <w:basedOn w:val="Normal"/>
    <w:uiPriority w:val="99"/>
    <w:semiHidden/>
    <w:unhideWhenUsed/>
    <w:rsid w:val="001D5489"/>
    <w:pPr>
      <w:spacing w:before="100" w:beforeAutospacing="1" w:after="100" w:afterAutospacing="1"/>
      <w:jc w:val="left"/>
    </w:pPr>
    <w:rPr>
      <w:rFonts w:ascii="Times New Roman" w:hAnsi="Times New Roman"/>
      <w:sz w:val="24"/>
      <w:lang w:eastAsia="ro-RO"/>
    </w:rPr>
  </w:style>
  <w:style w:type="character" w:customStyle="1" w:styleId="def">
    <w:name w:val="def"/>
    <w:basedOn w:val="DefaultParagraphFont"/>
    <w:rsid w:val="001D5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97628">
      <w:bodyDiv w:val="1"/>
      <w:marLeft w:val="0"/>
      <w:marRight w:val="0"/>
      <w:marTop w:val="0"/>
      <w:marBottom w:val="0"/>
      <w:divBdr>
        <w:top w:val="none" w:sz="0" w:space="0" w:color="auto"/>
        <w:left w:val="none" w:sz="0" w:space="0" w:color="auto"/>
        <w:bottom w:val="none" w:sz="0" w:space="0" w:color="auto"/>
        <w:right w:val="none" w:sz="0" w:space="0" w:color="auto"/>
      </w:divBdr>
      <w:divsChild>
        <w:div w:id="1775054461">
          <w:marLeft w:val="0"/>
          <w:marRight w:val="0"/>
          <w:marTop w:val="0"/>
          <w:marBottom w:val="0"/>
          <w:divBdr>
            <w:top w:val="none" w:sz="0" w:space="0" w:color="auto"/>
            <w:left w:val="none" w:sz="0" w:space="0" w:color="auto"/>
            <w:bottom w:val="none" w:sz="0" w:space="0" w:color="auto"/>
            <w:right w:val="none" w:sz="0" w:space="0" w:color="auto"/>
          </w:divBdr>
          <w:divsChild>
            <w:div w:id="1666518523">
              <w:marLeft w:val="0"/>
              <w:marRight w:val="0"/>
              <w:marTop w:val="0"/>
              <w:marBottom w:val="0"/>
              <w:divBdr>
                <w:top w:val="none" w:sz="0" w:space="0" w:color="auto"/>
                <w:left w:val="none" w:sz="0" w:space="0" w:color="auto"/>
                <w:bottom w:val="none" w:sz="0" w:space="0" w:color="auto"/>
                <w:right w:val="none" w:sz="0" w:space="0" w:color="auto"/>
              </w:divBdr>
              <w:divsChild>
                <w:div w:id="76172866">
                  <w:marLeft w:val="0"/>
                  <w:marRight w:val="0"/>
                  <w:marTop w:val="0"/>
                  <w:marBottom w:val="0"/>
                  <w:divBdr>
                    <w:top w:val="none" w:sz="0" w:space="0" w:color="auto"/>
                    <w:left w:val="none" w:sz="0" w:space="0" w:color="auto"/>
                    <w:bottom w:val="none" w:sz="0" w:space="0" w:color="auto"/>
                    <w:right w:val="none" w:sz="0" w:space="0" w:color="auto"/>
                  </w:divBdr>
                  <w:divsChild>
                    <w:div w:id="1527021167">
                      <w:marLeft w:val="0"/>
                      <w:marRight w:val="0"/>
                      <w:marTop w:val="0"/>
                      <w:marBottom w:val="0"/>
                      <w:divBdr>
                        <w:top w:val="none" w:sz="0" w:space="0" w:color="auto"/>
                        <w:left w:val="none" w:sz="0" w:space="0" w:color="auto"/>
                        <w:bottom w:val="none" w:sz="0" w:space="0" w:color="auto"/>
                        <w:right w:val="none" w:sz="0" w:space="0" w:color="auto"/>
                      </w:divBdr>
                      <w:divsChild>
                        <w:div w:id="1115829331">
                          <w:marLeft w:val="0"/>
                          <w:marRight w:val="0"/>
                          <w:marTop w:val="0"/>
                          <w:marBottom w:val="0"/>
                          <w:divBdr>
                            <w:top w:val="none" w:sz="0" w:space="0" w:color="auto"/>
                            <w:left w:val="none" w:sz="0" w:space="0" w:color="auto"/>
                            <w:bottom w:val="none" w:sz="0" w:space="0" w:color="auto"/>
                            <w:right w:val="none" w:sz="0" w:space="0" w:color="auto"/>
                          </w:divBdr>
                          <w:divsChild>
                            <w:div w:id="11313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242862">
      <w:bodyDiv w:val="1"/>
      <w:marLeft w:val="0"/>
      <w:marRight w:val="0"/>
      <w:marTop w:val="0"/>
      <w:marBottom w:val="0"/>
      <w:divBdr>
        <w:top w:val="none" w:sz="0" w:space="0" w:color="auto"/>
        <w:left w:val="none" w:sz="0" w:space="0" w:color="auto"/>
        <w:bottom w:val="none" w:sz="0" w:space="0" w:color="auto"/>
        <w:right w:val="none" w:sz="0" w:space="0" w:color="auto"/>
      </w:divBdr>
      <w:divsChild>
        <w:div w:id="1042362679">
          <w:marLeft w:val="0"/>
          <w:marRight w:val="0"/>
          <w:marTop w:val="0"/>
          <w:marBottom w:val="0"/>
          <w:divBdr>
            <w:top w:val="none" w:sz="0" w:space="0" w:color="auto"/>
            <w:left w:val="none" w:sz="0" w:space="0" w:color="auto"/>
            <w:bottom w:val="none" w:sz="0" w:space="0" w:color="auto"/>
            <w:right w:val="none" w:sz="0" w:space="0" w:color="auto"/>
          </w:divBdr>
          <w:divsChild>
            <w:div w:id="307130491">
              <w:marLeft w:val="0"/>
              <w:marRight w:val="0"/>
              <w:marTop w:val="0"/>
              <w:marBottom w:val="0"/>
              <w:divBdr>
                <w:top w:val="none" w:sz="0" w:space="0" w:color="auto"/>
                <w:left w:val="none" w:sz="0" w:space="0" w:color="auto"/>
                <w:bottom w:val="none" w:sz="0" w:space="0" w:color="auto"/>
                <w:right w:val="none" w:sz="0" w:space="0" w:color="auto"/>
              </w:divBdr>
              <w:divsChild>
                <w:div w:id="1652439418">
                  <w:marLeft w:val="0"/>
                  <w:marRight w:val="0"/>
                  <w:marTop w:val="0"/>
                  <w:marBottom w:val="0"/>
                  <w:divBdr>
                    <w:top w:val="none" w:sz="0" w:space="0" w:color="auto"/>
                    <w:left w:val="none" w:sz="0" w:space="0" w:color="auto"/>
                    <w:bottom w:val="none" w:sz="0" w:space="0" w:color="auto"/>
                    <w:right w:val="none" w:sz="0" w:space="0" w:color="auto"/>
                  </w:divBdr>
                  <w:divsChild>
                    <w:div w:id="300885517">
                      <w:marLeft w:val="0"/>
                      <w:marRight w:val="0"/>
                      <w:marTop w:val="0"/>
                      <w:marBottom w:val="0"/>
                      <w:divBdr>
                        <w:top w:val="none" w:sz="0" w:space="0" w:color="auto"/>
                        <w:left w:val="none" w:sz="0" w:space="0" w:color="auto"/>
                        <w:bottom w:val="none" w:sz="0" w:space="0" w:color="auto"/>
                        <w:right w:val="none" w:sz="0" w:space="0" w:color="auto"/>
                      </w:divBdr>
                      <w:divsChild>
                        <w:div w:id="535849558">
                          <w:marLeft w:val="0"/>
                          <w:marRight w:val="0"/>
                          <w:marTop w:val="0"/>
                          <w:marBottom w:val="0"/>
                          <w:divBdr>
                            <w:top w:val="none" w:sz="0" w:space="0" w:color="auto"/>
                            <w:left w:val="none" w:sz="0" w:space="0" w:color="auto"/>
                            <w:bottom w:val="none" w:sz="0" w:space="0" w:color="auto"/>
                            <w:right w:val="none" w:sz="0" w:space="0" w:color="auto"/>
                          </w:divBdr>
                          <w:divsChild>
                            <w:div w:id="112422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2773882">
      <w:bodyDiv w:val="1"/>
      <w:marLeft w:val="0"/>
      <w:marRight w:val="0"/>
      <w:marTop w:val="0"/>
      <w:marBottom w:val="0"/>
      <w:divBdr>
        <w:top w:val="none" w:sz="0" w:space="0" w:color="auto"/>
        <w:left w:val="none" w:sz="0" w:space="0" w:color="auto"/>
        <w:bottom w:val="none" w:sz="0" w:space="0" w:color="auto"/>
        <w:right w:val="none" w:sz="0" w:space="0" w:color="auto"/>
      </w:divBdr>
      <w:divsChild>
        <w:div w:id="100220966">
          <w:marLeft w:val="0"/>
          <w:marRight w:val="0"/>
          <w:marTop w:val="0"/>
          <w:marBottom w:val="0"/>
          <w:divBdr>
            <w:top w:val="none" w:sz="0" w:space="0" w:color="auto"/>
            <w:left w:val="none" w:sz="0" w:space="0" w:color="auto"/>
            <w:bottom w:val="none" w:sz="0" w:space="0" w:color="auto"/>
            <w:right w:val="none" w:sz="0" w:space="0" w:color="auto"/>
          </w:divBdr>
          <w:divsChild>
            <w:div w:id="1332416206">
              <w:marLeft w:val="0"/>
              <w:marRight w:val="0"/>
              <w:marTop w:val="0"/>
              <w:marBottom w:val="0"/>
              <w:divBdr>
                <w:top w:val="none" w:sz="0" w:space="0" w:color="auto"/>
                <w:left w:val="none" w:sz="0" w:space="0" w:color="auto"/>
                <w:bottom w:val="none" w:sz="0" w:space="0" w:color="auto"/>
                <w:right w:val="none" w:sz="0" w:space="0" w:color="auto"/>
              </w:divBdr>
              <w:divsChild>
                <w:div w:id="564074963">
                  <w:marLeft w:val="0"/>
                  <w:marRight w:val="0"/>
                  <w:marTop w:val="0"/>
                  <w:marBottom w:val="0"/>
                  <w:divBdr>
                    <w:top w:val="none" w:sz="0" w:space="0" w:color="auto"/>
                    <w:left w:val="none" w:sz="0" w:space="0" w:color="auto"/>
                    <w:bottom w:val="none" w:sz="0" w:space="0" w:color="auto"/>
                    <w:right w:val="none" w:sz="0" w:space="0" w:color="auto"/>
                  </w:divBdr>
                  <w:divsChild>
                    <w:div w:id="261424426">
                      <w:marLeft w:val="0"/>
                      <w:marRight w:val="0"/>
                      <w:marTop w:val="0"/>
                      <w:marBottom w:val="0"/>
                      <w:divBdr>
                        <w:top w:val="none" w:sz="0" w:space="0" w:color="auto"/>
                        <w:left w:val="none" w:sz="0" w:space="0" w:color="auto"/>
                        <w:bottom w:val="none" w:sz="0" w:space="0" w:color="auto"/>
                        <w:right w:val="none" w:sz="0" w:space="0" w:color="auto"/>
                      </w:divBdr>
                      <w:divsChild>
                        <w:div w:id="1058935543">
                          <w:marLeft w:val="0"/>
                          <w:marRight w:val="0"/>
                          <w:marTop w:val="0"/>
                          <w:marBottom w:val="0"/>
                          <w:divBdr>
                            <w:top w:val="none" w:sz="0" w:space="0" w:color="auto"/>
                            <w:left w:val="none" w:sz="0" w:space="0" w:color="auto"/>
                            <w:bottom w:val="none" w:sz="0" w:space="0" w:color="auto"/>
                            <w:right w:val="none" w:sz="0" w:space="0" w:color="auto"/>
                          </w:divBdr>
                          <w:divsChild>
                            <w:div w:id="186196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039651">
      <w:bodyDiv w:val="1"/>
      <w:marLeft w:val="0"/>
      <w:marRight w:val="0"/>
      <w:marTop w:val="0"/>
      <w:marBottom w:val="0"/>
      <w:divBdr>
        <w:top w:val="none" w:sz="0" w:space="0" w:color="auto"/>
        <w:left w:val="none" w:sz="0" w:space="0" w:color="auto"/>
        <w:bottom w:val="none" w:sz="0" w:space="0" w:color="auto"/>
        <w:right w:val="none" w:sz="0" w:space="0" w:color="auto"/>
      </w:divBdr>
      <w:divsChild>
        <w:div w:id="1909146292">
          <w:marLeft w:val="0"/>
          <w:marRight w:val="0"/>
          <w:marTop w:val="0"/>
          <w:marBottom w:val="0"/>
          <w:divBdr>
            <w:top w:val="none" w:sz="0" w:space="0" w:color="auto"/>
            <w:left w:val="none" w:sz="0" w:space="0" w:color="auto"/>
            <w:bottom w:val="none" w:sz="0" w:space="0" w:color="auto"/>
            <w:right w:val="none" w:sz="0" w:space="0" w:color="auto"/>
          </w:divBdr>
          <w:divsChild>
            <w:div w:id="1280836531">
              <w:marLeft w:val="0"/>
              <w:marRight w:val="0"/>
              <w:marTop w:val="0"/>
              <w:marBottom w:val="0"/>
              <w:divBdr>
                <w:top w:val="none" w:sz="0" w:space="0" w:color="auto"/>
                <w:left w:val="none" w:sz="0" w:space="0" w:color="auto"/>
                <w:bottom w:val="none" w:sz="0" w:space="0" w:color="auto"/>
                <w:right w:val="none" w:sz="0" w:space="0" w:color="auto"/>
              </w:divBdr>
              <w:divsChild>
                <w:div w:id="542211399">
                  <w:marLeft w:val="0"/>
                  <w:marRight w:val="0"/>
                  <w:marTop w:val="0"/>
                  <w:marBottom w:val="0"/>
                  <w:divBdr>
                    <w:top w:val="none" w:sz="0" w:space="0" w:color="auto"/>
                    <w:left w:val="none" w:sz="0" w:space="0" w:color="auto"/>
                    <w:bottom w:val="none" w:sz="0" w:space="0" w:color="auto"/>
                    <w:right w:val="none" w:sz="0" w:space="0" w:color="auto"/>
                  </w:divBdr>
                  <w:divsChild>
                    <w:div w:id="596183051">
                      <w:marLeft w:val="0"/>
                      <w:marRight w:val="0"/>
                      <w:marTop w:val="0"/>
                      <w:marBottom w:val="0"/>
                      <w:divBdr>
                        <w:top w:val="none" w:sz="0" w:space="0" w:color="auto"/>
                        <w:left w:val="none" w:sz="0" w:space="0" w:color="auto"/>
                        <w:bottom w:val="none" w:sz="0" w:space="0" w:color="auto"/>
                        <w:right w:val="none" w:sz="0" w:space="0" w:color="auto"/>
                      </w:divBdr>
                      <w:divsChild>
                        <w:div w:id="1383168456">
                          <w:marLeft w:val="0"/>
                          <w:marRight w:val="0"/>
                          <w:marTop w:val="0"/>
                          <w:marBottom w:val="0"/>
                          <w:divBdr>
                            <w:top w:val="none" w:sz="0" w:space="0" w:color="auto"/>
                            <w:left w:val="none" w:sz="0" w:space="0" w:color="auto"/>
                            <w:bottom w:val="none" w:sz="0" w:space="0" w:color="auto"/>
                            <w:right w:val="none" w:sz="0" w:space="0" w:color="auto"/>
                          </w:divBdr>
                          <w:divsChild>
                            <w:div w:id="96897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119709">
      <w:bodyDiv w:val="1"/>
      <w:marLeft w:val="0"/>
      <w:marRight w:val="0"/>
      <w:marTop w:val="0"/>
      <w:marBottom w:val="0"/>
      <w:divBdr>
        <w:top w:val="none" w:sz="0" w:space="0" w:color="auto"/>
        <w:left w:val="none" w:sz="0" w:space="0" w:color="auto"/>
        <w:bottom w:val="none" w:sz="0" w:space="0" w:color="auto"/>
        <w:right w:val="none" w:sz="0" w:space="0" w:color="auto"/>
      </w:divBdr>
      <w:divsChild>
        <w:div w:id="804934867">
          <w:marLeft w:val="0"/>
          <w:marRight w:val="0"/>
          <w:marTop w:val="0"/>
          <w:marBottom w:val="0"/>
          <w:divBdr>
            <w:top w:val="none" w:sz="0" w:space="0" w:color="auto"/>
            <w:left w:val="none" w:sz="0" w:space="0" w:color="auto"/>
            <w:bottom w:val="none" w:sz="0" w:space="0" w:color="auto"/>
            <w:right w:val="none" w:sz="0" w:space="0" w:color="auto"/>
          </w:divBdr>
          <w:divsChild>
            <w:div w:id="540870137">
              <w:marLeft w:val="0"/>
              <w:marRight w:val="0"/>
              <w:marTop w:val="0"/>
              <w:marBottom w:val="0"/>
              <w:divBdr>
                <w:top w:val="none" w:sz="0" w:space="0" w:color="auto"/>
                <w:left w:val="none" w:sz="0" w:space="0" w:color="auto"/>
                <w:bottom w:val="none" w:sz="0" w:space="0" w:color="auto"/>
                <w:right w:val="none" w:sz="0" w:space="0" w:color="auto"/>
              </w:divBdr>
              <w:divsChild>
                <w:div w:id="349766684">
                  <w:marLeft w:val="0"/>
                  <w:marRight w:val="0"/>
                  <w:marTop w:val="0"/>
                  <w:marBottom w:val="0"/>
                  <w:divBdr>
                    <w:top w:val="none" w:sz="0" w:space="0" w:color="auto"/>
                    <w:left w:val="none" w:sz="0" w:space="0" w:color="auto"/>
                    <w:bottom w:val="none" w:sz="0" w:space="0" w:color="auto"/>
                    <w:right w:val="none" w:sz="0" w:space="0" w:color="auto"/>
                  </w:divBdr>
                  <w:divsChild>
                    <w:div w:id="845048403">
                      <w:marLeft w:val="0"/>
                      <w:marRight w:val="0"/>
                      <w:marTop w:val="0"/>
                      <w:marBottom w:val="0"/>
                      <w:divBdr>
                        <w:top w:val="none" w:sz="0" w:space="0" w:color="auto"/>
                        <w:left w:val="none" w:sz="0" w:space="0" w:color="auto"/>
                        <w:bottom w:val="none" w:sz="0" w:space="0" w:color="auto"/>
                        <w:right w:val="none" w:sz="0" w:space="0" w:color="auto"/>
                      </w:divBdr>
                      <w:divsChild>
                        <w:div w:id="1190410902">
                          <w:marLeft w:val="0"/>
                          <w:marRight w:val="0"/>
                          <w:marTop w:val="0"/>
                          <w:marBottom w:val="0"/>
                          <w:divBdr>
                            <w:top w:val="none" w:sz="0" w:space="0" w:color="auto"/>
                            <w:left w:val="none" w:sz="0" w:space="0" w:color="auto"/>
                            <w:bottom w:val="none" w:sz="0" w:space="0" w:color="auto"/>
                            <w:right w:val="none" w:sz="0" w:space="0" w:color="auto"/>
                          </w:divBdr>
                          <w:divsChild>
                            <w:div w:id="133236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8725695">
      <w:bodyDiv w:val="1"/>
      <w:marLeft w:val="0"/>
      <w:marRight w:val="0"/>
      <w:marTop w:val="0"/>
      <w:marBottom w:val="0"/>
      <w:divBdr>
        <w:top w:val="none" w:sz="0" w:space="0" w:color="auto"/>
        <w:left w:val="none" w:sz="0" w:space="0" w:color="auto"/>
        <w:bottom w:val="none" w:sz="0" w:space="0" w:color="auto"/>
        <w:right w:val="none" w:sz="0" w:space="0" w:color="auto"/>
      </w:divBdr>
      <w:divsChild>
        <w:div w:id="1005018742">
          <w:marLeft w:val="0"/>
          <w:marRight w:val="0"/>
          <w:marTop w:val="384"/>
          <w:marBottom w:val="384"/>
          <w:divBdr>
            <w:top w:val="none" w:sz="0" w:space="0" w:color="auto"/>
            <w:left w:val="none" w:sz="0" w:space="0" w:color="auto"/>
            <w:bottom w:val="none" w:sz="0" w:space="0" w:color="auto"/>
            <w:right w:val="none" w:sz="0" w:space="0" w:color="auto"/>
          </w:divBdr>
          <w:divsChild>
            <w:div w:id="362486691">
              <w:marLeft w:val="0"/>
              <w:marRight w:val="0"/>
              <w:marTop w:val="0"/>
              <w:marBottom w:val="0"/>
              <w:divBdr>
                <w:top w:val="none" w:sz="0" w:space="0" w:color="auto"/>
                <w:left w:val="none" w:sz="0" w:space="0" w:color="auto"/>
                <w:bottom w:val="none" w:sz="0" w:space="0" w:color="auto"/>
                <w:right w:val="none" w:sz="0" w:space="0" w:color="auto"/>
              </w:divBdr>
            </w:div>
          </w:divsChild>
        </w:div>
        <w:div w:id="522014587">
          <w:marLeft w:val="0"/>
          <w:marRight w:val="0"/>
          <w:marTop w:val="384"/>
          <w:marBottom w:val="384"/>
          <w:divBdr>
            <w:top w:val="none" w:sz="0" w:space="0" w:color="auto"/>
            <w:left w:val="none" w:sz="0" w:space="0" w:color="auto"/>
            <w:bottom w:val="none" w:sz="0" w:space="0" w:color="auto"/>
            <w:right w:val="none" w:sz="0" w:space="0" w:color="auto"/>
          </w:divBdr>
          <w:divsChild>
            <w:div w:id="96824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446820">
      <w:bodyDiv w:val="1"/>
      <w:marLeft w:val="0"/>
      <w:marRight w:val="0"/>
      <w:marTop w:val="0"/>
      <w:marBottom w:val="0"/>
      <w:divBdr>
        <w:top w:val="none" w:sz="0" w:space="0" w:color="auto"/>
        <w:left w:val="none" w:sz="0" w:space="0" w:color="auto"/>
        <w:bottom w:val="none" w:sz="0" w:space="0" w:color="auto"/>
        <w:right w:val="none" w:sz="0" w:space="0" w:color="auto"/>
      </w:divBdr>
      <w:divsChild>
        <w:div w:id="1488092180">
          <w:marLeft w:val="0"/>
          <w:marRight w:val="0"/>
          <w:marTop w:val="0"/>
          <w:marBottom w:val="0"/>
          <w:divBdr>
            <w:top w:val="none" w:sz="0" w:space="0" w:color="auto"/>
            <w:left w:val="none" w:sz="0" w:space="0" w:color="auto"/>
            <w:bottom w:val="none" w:sz="0" w:space="0" w:color="auto"/>
            <w:right w:val="none" w:sz="0" w:space="0" w:color="auto"/>
          </w:divBdr>
          <w:divsChild>
            <w:div w:id="558594466">
              <w:marLeft w:val="0"/>
              <w:marRight w:val="0"/>
              <w:marTop w:val="0"/>
              <w:marBottom w:val="0"/>
              <w:divBdr>
                <w:top w:val="none" w:sz="0" w:space="0" w:color="auto"/>
                <w:left w:val="none" w:sz="0" w:space="0" w:color="auto"/>
                <w:bottom w:val="none" w:sz="0" w:space="0" w:color="auto"/>
                <w:right w:val="none" w:sz="0" w:space="0" w:color="auto"/>
              </w:divBdr>
              <w:divsChild>
                <w:div w:id="1480271218">
                  <w:marLeft w:val="0"/>
                  <w:marRight w:val="0"/>
                  <w:marTop w:val="0"/>
                  <w:marBottom w:val="0"/>
                  <w:divBdr>
                    <w:top w:val="none" w:sz="0" w:space="0" w:color="auto"/>
                    <w:left w:val="none" w:sz="0" w:space="0" w:color="auto"/>
                    <w:bottom w:val="none" w:sz="0" w:space="0" w:color="auto"/>
                    <w:right w:val="none" w:sz="0" w:space="0" w:color="auto"/>
                  </w:divBdr>
                  <w:divsChild>
                    <w:div w:id="872838741">
                      <w:marLeft w:val="0"/>
                      <w:marRight w:val="0"/>
                      <w:marTop w:val="0"/>
                      <w:marBottom w:val="0"/>
                      <w:divBdr>
                        <w:top w:val="none" w:sz="0" w:space="0" w:color="auto"/>
                        <w:left w:val="none" w:sz="0" w:space="0" w:color="auto"/>
                        <w:bottom w:val="none" w:sz="0" w:space="0" w:color="auto"/>
                        <w:right w:val="none" w:sz="0" w:space="0" w:color="auto"/>
                      </w:divBdr>
                      <w:divsChild>
                        <w:div w:id="1033580829">
                          <w:marLeft w:val="0"/>
                          <w:marRight w:val="0"/>
                          <w:marTop w:val="0"/>
                          <w:marBottom w:val="0"/>
                          <w:divBdr>
                            <w:top w:val="none" w:sz="0" w:space="0" w:color="auto"/>
                            <w:left w:val="none" w:sz="0" w:space="0" w:color="auto"/>
                            <w:bottom w:val="none" w:sz="0" w:space="0" w:color="auto"/>
                            <w:right w:val="none" w:sz="0" w:space="0" w:color="auto"/>
                          </w:divBdr>
                          <w:divsChild>
                            <w:div w:id="161928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385935">
      <w:bodyDiv w:val="1"/>
      <w:marLeft w:val="0"/>
      <w:marRight w:val="0"/>
      <w:marTop w:val="0"/>
      <w:marBottom w:val="0"/>
      <w:divBdr>
        <w:top w:val="none" w:sz="0" w:space="0" w:color="auto"/>
        <w:left w:val="none" w:sz="0" w:space="0" w:color="auto"/>
        <w:bottom w:val="none" w:sz="0" w:space="0" w:color="auto"/>
        <w:right w:val="none" w:sz="0" w:space="0" w:color="auto"/>
      </w:divBdr>
      <w:divsChild>
        <w:div w:id="773668423">
          <w:marLeft w:val="0"/>
          <w:marRight w:val="0"/>
          <w:marTop w:val="0"/>
          <w:marBottom w:val="0"/>
          <w:divBdr>
            <w:top w:val="none" w:sz="0" w:space="0" w:color="auto"/>
            <w:left w:val="none" w:sz="0" w:space="0" w:color="auto"/>
            <w:bottom w:val="none" w:sz="0" w:space="0" w:color="auto"/>
            <w:right w:val="none" w:sz="0" w:space="0" w:color="auto"/>
          </w:divBdr>
          <w:divsChild>
            <w:div w:id="537162424">
              <w:marLeft w:val="0"/>
              <w:marRight w:val="0"/>
              <w:marTop w:val="0"/>
              <w:marBottom w:val="0"/>
              <w:divBdr>
                <w:top w:val="none" w:sz="0" w:space="0" w:color="auto"/>
                <w:left w:val="none" w:sz="0" w:space="0" w:color="auto"/>
                <w:bottom w:val="none" w:sz="0" w:space="0" w:color="auto"/>
                <w:right w:val="none" w:sz="0" w:space="0" w:color="auto"/>
              </w:divBdr>
              <w:divsChild>
                <w:div w:id="1281454392">
                  <w:marLeft w:val="0"/>
                  <w:marRight w:val="0"/>
                  <w:marTop w:val="0"/>
                  <w:marBottom w:val="0"/>
                  <w:divBdr>
                    <w:top w:val="none" w:sz="0" w:space="0" w:color="auto"/>
                    <w:left w:val="none" w:sz="0" w:space="0" w:color="auto"/>
                    <w:bottom w:val="none" w:sz="0" w:space="0" w:color="auto"/>
                    <w:right w:val="none" w:sz="0" w:space="0" w:color="auto"/>
                  </w:divBdr>
                  <w:divsChild>
                    <w:div w:id="184636794">
                      <w:marLeft w:val="0"/>
                      <w:marRight w:val="0"/>
                      <w:marTop w:val="0"/>
                      <w:marBottom w:val="0"/>
                      <w:divBdr>
                        <w:top w:val="none" w:sz="0" w:space="0" w:color="auto"/>
                        <w:left w:val="none" w:sz="0" w:space="0" w:color="auto"/>
                        <w:bottom w:val="none" w:sz="0" w:space="0" w:color="auto"/>
                        <w:right w:val="none" w:sz="0" w:space="0" w:color="auto"/>
                      </w:divBdr>
                      <w:divsChild>
                        <w:div w:id="1590428342">
                          <w:marLeft w:val="0"/>
                          <w:marRight w:val="0"/>
                          <w:marTop w:val="0"/>
                          <w:marBottom w:val="0"/>
                          <w:divBdr>
                            <w:top w:val="none" w:sz="0" w:space="0" w:color="auto"/>
                            <w:left w:val="none" w:sz="0" w:space="0" w:color="auto"/>
                            <w:bottom w:val="none" w:sz="0" w:space="0" w:color="auto"/>
                            <w:right w:val="none" w:sz="0" w:space="0" w:color="auto"/>
                          </w:divBdr>
                          <w:divsChild>
                            <w:div w:id="108449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618252">
      <w:bodyDiv w:val="1"/>
      <w:marLeft w:val="0"/>
      <w:marRight w:val="0"/>
      <w:marTop w:val="0"/>
      <w:marBottom w:val="0"/>
      <w:divBdr>
        <w:top w:val="none" w:sz="0" w:space="0" w:color="auto"/>
        <w:left w:val="none" w:sz="0" w:space="0" w:color="auto"/>
        <w:bottom w:val="none" w:sz="0" w:space="0" w:color="auto"/>
        <w:right w:val="none" w:sz="0" w:space="0" w:color="auto"/>
      </w:divBdr>
      <w:divsChild>
        <w:div w:id="846990169">
          <w:marLeft w:val="0"/>
          <w:marRight w:val="0"/>
          <w:marTop w:val="0"/>
          <w:marBottom w:val="0"/>
          <w:divBdr>
            <w:top w:val="none" w:sz="0" w:space="0" w:color="auto"/>
            <w:left w:val="none" w:sz="0" w:space="0" w:color="auto"/>
            <w:bottom w:val="none" w:sz="0" w:space="0" w:color="auto"/>
            <w:right w:val="none" w:sz="0" w:space="0" w:color="auto"/>
          </w:divBdr>
          <w:divsChild>
            <w:div w:id="1814519282">
              <w:marLeft w:val="0"/>
              <w:marRight w:val="0"/>
              <w:marTop w:val="0"/>
              <w:marBottom w:val="0"/>
              <w:divBdr>
                <w:top w:val="none" w:sz="0" w:space="0" w:color="auto"/>
                <w:left w:val="none" w:sz="0" w:space="0" w:color="auto"/>
                <w:bottom w:val="none" w:sz="0" w:space="0" w:color="auto"/>
                <w:right w:val="none" w:sz="0" w:space="0" w:color="auto"/>
              </w:divBdr>
              <w:divsChild>
                <w:div w:id="1856531596">
                  <w:marLeft w:val="0"/>
                  <w:marRight w:val="0"/>
                  <w:marTop w:val="0"/>
                  <w:marBottom w:val="0"/>
                  <w:divBdr>
                    <w:top w:val="none" w:sz="0" w:space="0" w:color="auto"/>
                    <w:left w:val="none" w:sz="0" w:space="0" w:color="auto"/>
                    <w:bottom w:val="none" w:sz="0" w:space="0" w:color="auto"/>
                    <w:right w:val="none" w:sz="0" w:space="0" w:color="auto"/>
                  </w:divBdr>
                  <w:divsChild>
                    <w:div w:id="1384869151">
                      <w:marLeft w:val="0"/>
                      <w:marRight w:val="0"/>
                      <w:marTop w:val="0"/>
                      <w:marBottom w:val="0"/>
                      <w:divBdr>
                        <w:top w:val="none" w:sz="0" w:space="0" w:color="auto"/>
                        <w:left w:val="none" w:sz="0" w:space="0" w:color="auto"/>
                        <w:bottom w:val="none" w:sz="0" w:space="0" w:color="auto"/>
                        <w:right w:val="none" w:sz="0" w:space="0" w:color="auto"/>
                      </w:divBdr>
                      <w:divsChild>
                        <w:div w:id="1850632385">
                          <w:marLeft w:val="0"/>
                          <w:marRight w:val="0"/>
                          <w:marTop w:val="0"/>
                          <w:marBottom w:val="0"/>
                          <w:divBdr>
                            <w:top w:val="none" w:sz="0" w:space="0" w:color="auto"/>
                            <w:left w:val="none" w:sz="0" w:space="0" w:color="auto"/>
                            <w:bottom w:val="none" w:sz="0" w:space="0" w:color="auto"/>
                            <w:right w:val="none" w:sz="0" w:space="0" w:color="auto"/>
                          </w:divBdr>
                          <w:divsChild>
                            <w:div w:id="28246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793688">
      <w:bodyDiv w:val="1"/>
      <w:marLeft w:val="0"/>
      <w:marRight w:val="0"/>
      <w:marTop w:val="0"/>
      <w:marBottom w:val="0"/>
      <w:divBdr>
        <w:top w:val="none" w:sz="0" w:space="0" w:color="auto"/>
        <w:left w:val="none" w:sz="0" w:space="0" w:color="auto"/>
        <w:bottom w:val="none" w:sz="0" w:space="0" w:color="auto"/>
        <w:right w:val="none" w:sz="0" w:space="0" w:color="auto"/>
      </w:divBdr>
      <w:divsChild>
        <w:div w:id="1685084679">
          <w:marLeft w:val="0"/>
          <w:marRight w:val="0"/>
          <w:marTop w:val="0"/>
          <w:marBottom w:val="0"/>
          <w:divBdr>
            <w:top w:val="none" w:sz="0" w:space="0" w:color="auto"/>
            <w:left w:val="none" w:sz="0" w:space="0" w:color="auto"/>
            <w:bottom w:val="none" w:sz="0" w:space="0" w:color="auto"/>
            <w:right w:val="none" w:sz="0" w:space="0" w:color="auto"/>
          </w:divBdr>
          <w:divsChild>
            <w:div w:id="1724131136">
              <w:marLeft w:val="0"/>
              <w:marRight w:val="0"/>
              <w:marTop w:val="0"/>
              <w:marBottom w:val="0"/>
              <w:divBdr>
                <w:top w:val="none" w:sz="0" w:space="0" w:color="auto"/>
                <w:left w:val="none" w:sz="0" w:space="0" w:color="auto"/>
                <w:bottom w:val="none" w:sz="0" w:space="0" w:color="auto"/>
                <w:right w:val="none" w:sz="0" w:space="0" w:color="auto"/>
              </w:divBdr>
              <w:divsChild>
                <w:div w:id="585303860">
                  <w:marLeft w:val="0"/>
                  <w:marRight w:val="0"/>
                  <w:marTop w:val="0"/>
                  <w:marBottom w:val="0"/>
                  <w:divBdr>
                    <w:top w:val="none" w:sz="0" w:space="0" w:color="auto"/>
                    <w:left w:val="none" w:sz="0" w:space="0" w:color="auto"/>
                    <w:bottom w:val="none" w:sz="0" w:space="0" w:color="auto"/>
                    <w:right w:val="none" w:sz="0" w:space="0" w:color="auto"/>
                  </w:divBdr>
                  <w:divsChild>
                    <w:div w:id="1036083881">
                      <w:marLeft w:val="0"/>
                      <w:marRight w:val="0"/>
                      <w:marTop w:val="0"/>
                      <w:marBottom w:val="0"/>
                      <w:divBdr>
                        <w:top w:val="none" w:sz="0" w:space="0" w:color="auto"/>
                        <w:left w:val="none" w:sz="0" w:space="0" w:color="auto"/>
                        <w:bottom w:val="none" w:sz="0" w:space="0" w:color="auto"/>
                        <w:right w:val="none" w:sz="0" w:space="0" w:color="auto"/>
                      </w:divBdr>
                      <w:divsChild>
                        <w:div w:id="725299358">
                          <w:marLeft w:val="0"/>
                          <w:marRight w:val="0"/>
                          <w:marTop w:val="0"/>
                          <w:marBottom w:val="0"/>
                          <w:divBdr>
                            <w:top w:val="none" w:sz="0" w:space="0" w:color="auto"/>
                            <w:left w:val="none" w:sz="0" w:space="0" w:color="auto"/>
                            <w:bottom w:val="none" w:sz="0" w:space="0" w:color="auto"/>
                            <w:right w:val="none" w:sz="0" w:space="0" w:color="auto"/>
                          </w:divBdr>
                          <w:divsChild>
                            <w:div w:id="16910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hr.coe.int/Documents/FS_Life_sentences_ENG.pdf" TargetMode="External"/><Relationship Id="rId13" Type="http://schemas.openxmlformats.org/officeDocument/2006/relationships/hyperlink" Target="http://hudoc.echr.coe.int/eng?i=002-327" TargetMode="External"/><Relationship Id="rId18" Type="http://schemas.openxmlformats.org/officeDocument/2006/relationships/hyperlink" Target="http://www.echr.coe.int/Documents/Rules_Court_ENG.pdf" TargetMode="External"/><Relationship Id="rId26" Type="http://schemas.openxmlformats.org/officeDocument/2006/relationships/hyperlink" Target="http://www.echr.coe.int/Documents/Rules_Court_ENG.pdf" TargetMode="External"/><Relationship Id="rId3" Type="http://schemas.openxmlformats.org/officeDocument/2006/relationships/styles" Target="styles.xml"/><Relationship Id="rId21" Type="http://schemas.openxmlformats.org/officeDocument/2006/relationships/hyperlink" Target="http://hudoc.echr.coe.int/eng-press?i=003-3808760-4365595"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hudoc.echr.coe.int/sites/eng/pages/search.aspx?i=001-22159" TargetMode="External"/><Relationship Id="rId17" Type="http://schemas.openxmlformats.org/officeDocument/2006/relationships/hyperlink" Target="http://hudoc.echr.coe.int/sites/eng-press/pages/search.aspx?i=003-4857437-5932276" TargetMode="External"/><Relationship Id="rId25" Type="http://schemas.openxmlformats.org/officeDocument/2006/relationships/hyperlink" Target="http://hudoc.echr.coe.int/eng-press?i=003-4857437-5932276"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hudoc.echr.coe.int/fre?i=003-3906939-4510631" TargetMode="External"/><Relationship Id="rId20" Type="http://schemas.openxmlformats.org/officeDocument/2006/relationships/hyperlink" Target="http://hudoc.echr.coe.int/eng-press?i=003-5786669-7358545"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eng?i=002-3191" TargetMode="External"/><Relationship Id="rId24" Type="http://schemas.openxmlformats.org/officeDocument/2006/relationships/hyperlink" Target="http://hudoc.echr.coe.int/eng-press?i=003-4429521-5325447"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hudoc.echr.coe.int/fre?i=003-3808760-4365595" TargetMode="External"/><Relationship Id="rId23" Type="http://schemas.openxmlformats.org/officeDocument/2006/relationships/hyperlink" Target="http://hudoc.echr.coe.int/eng-press?i=003-4857437-5932276" TargetMode="External"/><Relationship Id="rId28" Type="http://schemas.openxmlformats.org/officeDocument/2006/relationships/hyperlink" Target="https://hudoc.echr.coe.int/eng" TargetMode="External"/><Relationship Id="rId10" Type="http://schemas.openxmlformats.org/officeDocument/2006/relationships/hyperlink" Target="http://hudoc.echr.coe.int/sites/eng/pages/search.aspx?i=001-23082" TargetMode="External"/><Relationship Id="rId19" Type="http://schemas.openxmlformats.org/officeDocument/2006/relationships/hyperlink" Target="http://hudoc.echr.coe.int/eng?i=002-11116"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chr.coe.int/Documents/Convention_ENG.pdf" TargetMode="External"/><Relationship Id="rId14" Type="http://schemas.openxmlformats.org/officeDocument/2006/relationships/hyperlink" Target="http://hudoc.echr.coe.int/eng?i=001-108254" TargetMode="External"/><Relationship Id="rId22" Type="http://schemas.openxmlformats.org/officeDocument/2006/relationships/hyperlink" Target="http://hudoc.echr.coe.int/eng-press?i=003-4429521-5325447" TargetMode="External"/><Relationship Id="rId27" Type="http://schemas.openxmlformats.org/officeDocument/2006/relationships/hyperlink" Target="http://hudoc.echr.coe.int/eng?i=001-159163"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chr.coe.int/Documents/FS_Interim_measures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AA88-897B-4DEE-9509-01161E82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2489</Words>
  <Characters>14440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ECHR</vt:lpstr>
      <vt:lpstr>ECHR</vt:lpstr>
    </vt:vector>
  </TitlesOfParts>
  <Manager/>
  <Company/>
  <LinksUpToDate>false</LinksUpToDate>
  <CharactersWithSpaces>16896</CharactersWithSpaces>
  <SharedDoc>false</SharedDoc>
  <HLinks>
    <vt:vector size="186" baseType="variant">
      <vt:variant>
        <vt:i4>5636210</vt:i4>
      </vt:variant>
      <vt:variant>
        <vt:i4>72</vt:i4>
      </vt:variant>
      <vt:variant>
        <vt:i4>0</vt:i4>
      </vt:variant>
      <vt:variant>
        <vt:i4>5</vt:i4>
      </vt:variant>
      <vt:variant>
        <vt:lpwstr>http://hudoc.echr.coe.int/sites/eng-press/pages/search.aspx?i=003-4930442-6035902</vt:lpwstr>
      </vt:variant>
      <vt:variant>
        <vt:lpwstr/>
      </vt:variant>
      <vt:variant>
        <vt:i4>7077928</vt:i4>
      </vt:variant>
      <vt:variant>
        <vt:i4>69</vt:i4>
      </vt:variant>
      <vt:variant>
        <vt:i4>0</vt:i4>
      </vt:variant>
      <vt:variant>
        <vt:i4>5</vt:i4>
      </vt:variant>
      <vt:variant>
        <vt:lpwstr>http://hudoc.echr.coe.int/sites/eng/pages/search.aspx?i=001-147671</vt:lpwstr>
      </vt:variant>
      <vt:variant>
        <vt:lpwstr/>
      </vt:variant>
      <vt:variant>
        <vt:i4>6160509</vt:i4>
      </vt:variant>
      <vt:variant>
        <vt:i4>66</vt:i4>
      </vt:variant>
      <vt:variant>
        <vt:i4>0</vt:i4>
      </vt:variant>
      <vt:variant>
        <vt:i4>5</vt:i4>
      </vt:variant>
      <vt:variant>
        <vt:lpwstr>http://hudoc.echr.coe.int/sites/eng-press/pages/search.aspx?i=003-4857437-5932276</vt:lpwstr>
      </vt:variant>
      <vt:variant>
        <vt:lpwstr/>
      </vt:variant>
      <vt:variant>
        <vt:i4>7143468</vt:i4>
      </vt:variant>
      <vt:variant>
        <vt:i4>63</vt:i4>
      </vt:variant>
      <vt:variant>
        <vt:i4>0</vt:i4>
      </vt:variant>
      <vt:variant>
        <vt:i4>5</vt:i4>
      </vt:variant>
      <vt:variant>
        <vt:lpwstr>http://hudoc.echr.coe.int/sites/eng/pages/search.aspx?i=001-145711</vt:lpwstr>
      </vt:variant>
      <vt:variant>
        <vt:lpwstr/>
      </vt:variant>
      <vt:variant>
        <vt:i4>5374071</vt:i4>
      </vt:variant>
      <vt:variant>
        <vt:i4>60</vt:i4>
      </vt:variant>
      <vt:variant>
        <vt:i4>0</vt:i4>
      </vt:variant>
      <vt:variant>
        <vt:i4>5</vt:i4>
      </vt:variant>
      <vt:variant>
        <vt:lpwstr>http://hudoc.echr.coe.int/sites/eng-press/pages/search.aspx?i=003-4815714-5871896</vt:lpwstr>
      </vt:variant>
      <vt:variant>
        <vt:lpwstr/>
      </vt:variant>
      <vt:variant>
        <vt:i4>6160508</vt:i4>
      </vt:variant>
      <vt:variant>
        <vt:i4>57</vt:i4>
      </vt:variant>
      <vt:variant>
        <vt:i4>0</vt:i4>
      </vt:variant>
      <vt:variant>
        <vt:i4>5</vt:i4>
      </vt:variant>
      <vt:variant>
        <vt:lpwstr>http://hudoc.echr.coe.int/sites/eng-press/pages/search.aspx?i=003-4764328-5797216</vt:lpwstr>
      </vt:variant>
      <vt:variant>
        <vt:lpwstr/>
      </vt:variant>
      <vt:variant>
        <vt:i4>5439611</vt:i4>
      </vt:variant>
      <vt:variant>
        <vt:i4>54</vt:i4>
      </vt:variant>
      <vt:variant>
        <vt:i4>0</vt:i4>
      </vt:variant>
      <vt:variant>
        <vt:i4>5</vt:i4>
      </vt:variant>
      <vt:variant>
        <vt:lpwstr>http://hudoc.echr.coe.int/sites/eng-press/pages/search.aspx?i=003-4703714-5709561</vt:lpwstr>
      </vt:variant>
      <vt:variant>
        <vt:lpwstr/>
      </vt:variant>
      <vt:variant>
        <vt:i4>6488088</vt:i4>
      </vt:variant>
      <vt:variant>
        <vt:i4>51</vt:i4>
      </vt:variant>
      <vt:variant>
        <vt:i4>0</vt:i4>
      </vt:variant>
      <vt:variant>
        <vt:i4>5</vt:i4>
      </vt:variant>
      <vt:variant>
        <vt:lpwstr>http://hudoc.echr.coe.int/sites/fra/pages/search.aspx?i=003-4429521-5325447</vt:lpwstr>
      </vt:variant>
      <vt:variant>
        <vt:lpwstr/>
      </vt:variant>
      <vt:variant>
        <vt:i4>7536683</vt:i4>
      </vt:variant>
      <vt:variant>
        <vt:i4>48</vt:i4>
      </vt:variant>
      <vt:variant>
        <vt:i4>0</vt:i4>
      </vt:variant>
      <vt:variant>
        <vt:i4>5</vt:i4>
      </vt:variant>
      <vt:variant>
        <vt:lpwstr>http://hudoc.echr.coe.int/sites/fra/pages/search.aspx?i=001-122446</vt:lpwstr>
      </vt:variant>
      <vt:variant>
        <vt:lpwstr/>
      </vt:variant>
      <vt:variant>
        <vt:i4>6553631</vt:i4>
      </vt:variant>
      <vt:variant>
        <vt:i4>45</vt:i4>
      </vt:variant>
      <vt:variant>
        <vt:i4>0</vt:i4>
      </vt:variant>
      <vt:variant>
        <vt:i4>5</vt:i4>
      </vt:variant>
      <vt:variant>
        <vt:lpwstr>http://hudoc.echr.coe.int/sites/fra/pages/search.aspx?i=003-3906939-4510631</vt:lpwstr>
      </vt:variant>
      <vt:variant>
        <vt:lpwstr/>
      </vt:variant>
      <vt:variant>
        <vt:i4>6750232</vt:i4>
      </vt:variant>
      <vt:variant>
        <vt:i4>42</vt:i4>
      </vt:variant>
      <vt:variant>
        <vt:i4>0</vt:i4>
      </vt:variant>
      <vt:variant>
        <vt:i4>5</vt:i4>
      </vt:variant>
      <vt:variant>
        <vt:lpwstr>http://hudoc.echr.coe.int/sites/fra/pages/search.aspx?i=003-3808760-4365595</vt:lpwstr>
      </vt:variant>
      <vt:variant>
        <vt:lpwstr/>
      </vt:variant>
      <vt:variant>
        <vt:i4>7012396</vt:i4>
      </vt:variant>
      <vt:variant>
        <vt:i4>39</vt:i4>
      </vt:variant>
      <vt:variant>
        <vt:i4>0</vt:i4>
      </vt:variant>
      <vt:variant>
        <vt:i4>5</vt:i4>
      </vt:variant>
      <vt:variant>
        <vt:lpwstr>http://hudoc.echr.coe.int/sites/eng/pages/search.aspx?i=001-104602</vt:lpwstr>
      </vt:variant>
      <vt:variant>
        <vt:lpwstr/>
      </vt:variant>
      <vt:variant>
        <vt:i4>7471127</vt:i4>
      </vt:variant>
      <vt:variant>
        <vt:i4>36</vt:i4>
      </vt:variant>
      <vt:variant>
        <vt:i4>0</vt:i4>
      </vt:variant>
      <vt:variant>
        <vt:i4>5</vt:i4>
      </vt:variant>
      <vt:variant>
        <vt:lpwstr>http://hudoc.echr.coe.int/sites/fra/pages/search.aspx?i=002-810</vt:lpwstr>
      </vt:variant>
      <vt:variant>
        <vt:lpwstr/>
      </vt:variant>
      <vt:variant>
        <vt:i4>6750224</vt:i4>
      </vt:variant>
      <vt:variant>
        <vt:i4>33</vt:i4>
      </vt:variant>
      <vt:variant>
        <vt:i4>0</vt:i4>
      </vt:variant>
      <vt:variant>
        <vt:i4>5</vt:i4>
      </vt:variant>
      <vt:variant>
        <vt:lpwstr>http://hudoc.echr.coe.int/sites/fra/pages/search.aspx?i=003-2938799-3232312</vt:lpwstr>
      </vt:variant>
      <vt:variant>
        <vt:lpwstr/>
      </vt:variant>
      <vt:variant>
        <vt:i4>4194339</vt:i4>
      </vt:variant>
      <vt:variant>
        <vt:i4>30</vt:i4>
      </vt:variant>
      <vt:variant>
        <vt:i4>0</vt:i4>
      </vt:variant>
      <vt:variant>
        <vt:i4>5</vt:i4>
      </vt:variant>
      <vt:variant>
        <vt:lpwstr>http://hudoc.echr.coe.int/sites/fra/pages/search.aspx?i=001-91620</vt:lpwstr>
      </vt:variant>
      <vt:variant>
        <vt:lpwstr/>
      </vt:variant>
      <vt:variant>
        <vt:i4>7077907</vt:i4>
      </vt:variant>
      <vt:variant>
        <vt:i4>27</vt:i4>
      </vt:variant>
      <vt:variant>
        <vt:i4>0</vt:i4>
      </vt:variant>
      <vt:variant>
        <vt:i4>5</vt:i4>
      </vt:variant>
      <vt:variant>
        <vt:lpwstr>http://hudoc.echr.coe.int/sites/fra/pages/search.aspx?i=003-1636723-1714833</vt:lpwstr>
      </vt:variant>
      <vt:variant>
        <vt:lpwstr/>
      </vt:variant>
      <vt:variant>
        <vt:i4>4522005</vt:i4>
      </vt:variant>
      <vt:variant>
        <vt:i4>24</vt:i4>
      </vt:variant>
      <vt:variant>
        <vt:i4>0</vt:i4>
      </vt:variant>
      <vt:variant>
        <vt:i4>5</vt:i4>
      </vt:variant>
      <vt:variant>
        <vt:lpwstr>http://hudoc.echr.coe.int/sites/fra/pages/search.aspx?i=002-2187</vt:lpwstr>
      </vt:variant>
      <vt:variant>
        <vt:lpwstr/>
      </vt:variant>
      <vt:variant>
        <vt:i4>5505151</vt:i4>
      </vt:variant>
      <vt:variant>
        <vt:i4>21</vt:i4>
      </vt:variant>
      <vt:variant>
        <vt:i4>0</vt:i4>
      </vt:variant>
      <vt:variant>
        <vt:i4>5</vt:i4>
      </vt:variant>
      <vt:variant>
        <vt:lpwstr>http://hudoc.echr.coe.int/sites/eng-press/pages/search.aspx?i=003-2266462-2424484</vt:lpwstr>
      </vt:variant>
      <vt:variant>
        <vt:lpwstr/>
      </vt:variant>
      <vt:variant>
        <vt:i4>5767212</vt:i4>
      </vt:variant>
      <vt:variant>
        <vt:i4>18</vt:i4>
      </vt:variant>
      <vt:variant>
        <vt:i4>0</vt:i4>
      </vt:variant>
      <vt:variant>
        <vt:i4>5</vt:i4>
      </vt:variant>
      <vt:variant>
        <vt:lpwstr>http://hudoc.echr.coe.int/sites/eng/pages/search.aspx?i=001-23245</vt:lpwstr>
      </vt:variant>
      <vt:variant>
        <vt:lpwstr/>
      </vt:variant>
      <vt:variant>
        <vt:i4>5767211</vt:i4>
      </vt:variant>
      <vt:variant>
        <vt:i4>15</vt:i4>
      </vt:variant>
      <vt:variant>
        <vt:i4>0</vt:i4>
      </vt:variant>
      <vt:variant>
        <vt:i4>5</vt:i4>
      </vt:variant>
      <vt:variant>
        <vt:lpwstr>http://hudoc.echr.coe.int/sites/eng/pages/search.aspx?i=001-22959</vt:lpwstr>
      </vt:variant>
      <vt:variant>
        <vt:lpwstr/>
      </vt:variant>
      <vt:variant>
        <vt:i4>5767203</vt:i4>
      </vt:variant>
      <vt:variant>
        <vt:i4>12</vt:i4>
      </vt:variant>
      <vt:variant>
        <vt:i4>0</vt:i4>
      </vt:variant>
      <vt:variant>
        <vt:i4>5</vt:i4>
      </vt:variant>
      <vt:variant>
        <vt:lpwstr>http://hudoc.echr.coe.int/sites/eng/pages/search.aspx?i=001-22159</vt:lpwstr>
      </vt:variant>
      <vt:variant>
        <vt:lpwstr/>
      </vt:variant>
      <vt:variant>
        <vt:i4>5505065</vt:i4>
      </vt:variant>
      <vt:variant>
        <vt:i4>9</vt:i4>
      </vt:variant>
      <vt:variant>
        <vt:i4>0</vt:i4>
      </vt:variant>
      <vt:variant>
        <vt:i4>5</vt:i4>
      </vt:variant>
      <vt:variant>
        <vt:lpwstr>http://hudoc.echr.coe.int/sites/eng/pages/search.aspx?i=001-23082</vt:lpwstr>
      </vt:variant>
      <vt:variant>
        <vt:lpwstr/>
      </vt:variant>
      <vt:variant>
        <vt:i4>6684702</vt:i4>
      </vt:variant>
      <vt:variant>
        <vt:i4>6</vt:i4>
      </vt:variant>
      <vt:variant>
        <vt:i4>0</vt:i4>
      </vt:variant>
      <vt:variant>
        <vt:i4>5</vt:i4>
      </vt:variant>
      <vt:variant>
        <vt:lpwstr>http://hudoc.echr.coe.int/sites/eng/pages/search.aspx?i=001-592</vt:lpwstr>
      </vt:variant>
      <vt:variant>
        <vt:lpwstr/>
      </vt:variant>
      <vt:variant>
        <vt:i4>6029352</vt:i4>
      </vt:variant>
      <vt:variant>
        <vt:i4>3</vt:i4>
      </vt:variant>
      <vt:variant>
        <vt:i4>0</vt:i4>
      </vt:variant>
      <vt:variant>
        <vt:i4>5</vt:i4>
      </vt:variant>
      <vt:variant>
        <vt:lpwstr>http://hudoc.echr.coe.int/sites/eng/pages/search.aspx?i=001-73600</vt:lpwstr>
      </vt:variant>
      <vt:variant>
        <vt:lpwstr/>
      </vt:variant>
      <vt:variant>
        <vt:i4>4718629</vt:i4>
      </vt:variant>
      <vt:variant>
        <vt:i4>0</vt:i4>
      </vt:variant>
      <vt:variant>
        <vt:i4>0</vt:i4>
      </vt:variant>
      <vt:variant>
        <vt:i4>5</vt:i4>
      </vt:variant>
      <vt:variant>
        <vt:lpwstr>http://www.echr.coe.int/Documents/Convention_ENG.pdf</vt:lpwstr>
      </vt:variant>
      <vt:variant>
        <vt:lpwstr/>
      </vt:variant>
      <vt:variant>
        <vt:i4>4718629</vt:i4>
      </vt:variant>
      <vt:variant>
        <vt:i4>3</vt:i4>
      </vt:variant>
      <vt:variant>
        <vt:i4>0</vt:i4>
      </vt:variant>
      <vt:variant>
        <vt:i4>5</vt:i4>
      </vt:variant>
      <vt:variant>
        <vt:lpwstr>http://www.echr.coe.int/Documents/Convention_ENG.pdf</vt:lpwstr>
      </vt:variant>
      <vt:variant>
        <vt:lpwstr/>
      </vt:variant>
      <vt:variant>
        <vt:i4>4718629</vt:i4>
      </vt:variant>
      <vt:variant>
        <vt:i4>0</vt:i4>
      </vt:variant>
      <vt:variant>
        <vt:i4>0</vt:i4>
      </vt:variant>
      <vt:variant>
        <vt:i4>5</vt:i4>
      </vt:variant>
      <vt:variant>
        <vt:lpwstr>http://www.echr.coe.int/Documents/Convention_ENG.pdf</vt:lpwstr>
      </vt:variant>
      <vt:variant>
        <vt:lpwstr/>
      </vt:variant>
      <vt:variant>
        <vt:i4>5374033</vt:i4>
      </vt:variant>
      <vt:variant>
        <vt:i4>41436</vt:i4>
      </vt:variant>
      <vt:variant>
        <vt:i4>1025</vt:i4>
      </vt:variant>
      <vt:variant>
        <vt:i4>1</vt:i4>
      </vt:variant>
      <vt:variant>
        <vt:lpwstr>PressUnitRight-01-03</vt:lpwstr>
      </vt:variant>
      <vt:variant>
        <vt:lpwstr/>
      </vt:variant>
      <vt:variant>
        <vt:i4>1114216</vt:i4>
      </vt:variant>
      <vt:variant>
        <vt:i4>41454</vt:i4>
      </vt:variant>
      <vt:variant>
        <vt:i4>1027</vt:i4>
      </vt:variant>
      <vt:variant>
        <vt:i4>1</vt:i4>
      </vt:variant>
      <vt:variant>
        <vt:lpwstr>SmallDocHeaderTighter</vt:lpwstr>
      </vt:variant>
      <vt:variant>
        <vt:lpwstr/>
      </vt:variant>
      <vt:variant>
        <vt:i4>5374033</vt:i4>
      </vt:variant>
      <vt:variant>
        <vt:i4>41457</vt:i4>
      </vt:variant>
      <vt:variant>
        <vt:i4>1028</vt:i4>
      </vt:variant>
      <vt:variant>
        <vt:i4>1</vt:i4>
      </vt:variant>
      <vt:variant>
        <vt:lpwstr>PressUnitRight-01-03</vt:lpwstr>
      </vt:variant>
      <vt:variant>
        <vt:lpwstr/>
      </vt:variant>
      <vt:variant>
        <vt:i4>1900638</vt:i4>
      </vt:variant>
      <vt:variant>
        <vt:i4>41493</vt:i4>
      </vt:variant>
      <vt:variant>
        <vt:i4>1026</vt:i4>
      </vt:variant>
      <vt:variant>
        <vt:i4>1</vt:i4>
      </vt:variant>
      <vt:variant>
        <vt:lpwstr>DocFooter-03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PR</dc:subject>
  <dc:creator/>
  <cp:keywords/>
  <dc:description/>
  <cp:lastModifiedBy/>
  <cp:revision>1</cp:revision>
  <cp:lastPrinted>2013-07-16T15:55:00Z</cp:lastPrinted>
  <dcterms:created xsi:type="dcterms:W3CDTF">2018-01-10T10:22:00Z</dcterms:created>
  <dcterms:modified xsi:type="dcterms:W3CDTF">2018-01-10T14:12:00Z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ies>
</file>